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E7461">
      <w:pPr>
        <w:autoSpaceDN w:val="0"/>
        <w:spacing w:line="600" w:lineRule="exact"/>
        <w:jc w:val="center"/>
        <w:rPr>
          <w:rFonts w:hint="eastAsia" w:ascii="宋体" w:hAnsi="宋体" w:cs="宋体"/>
          <w:b/>
          <w:color w:val="auto"/>
          <w:sz w:val="44"/>
          <w:lang w:eastAsia="zh-CN"/>
        </w:rPr>
      </w:pPr>
      <w:bookmarkStart w:id="0" w:name="_GoBack"/>
      <w:bookmarkEnd w:id="0"/>
    </w:p>
    <w:p w14:paraId="0E706413">
      <w:pPr>
        <w:jc w:val="center"/>
        <w:rPr>
          <w:rFonts w:hint="eastAsia"/>
          <w:b/>
          <w:bCs/>
          <w:w w:val="80"/>
          <w:sz w:val="96"/>
          <w:szCs w:val="96"/>
        </w:rPr>
      </w:pPr>
      <w:r>
        <w:rPr>
          <w:rFonts w:hint="eastAsia" w:ascii="方正大标宋_GBK" w:hAnsi="方正大标宋_GBK" w:eastAsia="方正大标宋_GBK" w:cs="方正大标宋_GBK"/>
          <w:b/>
          <w:bCs/>
          <w:color w:val="FF0000"/>
          <w:w w:val="80"/>
          <w:sz w:val="96"/>
          <w:szCs w:val="96"/>
        </w:rPr>
        <w:t>新乐市</w:t>
      </w:r>
      <w:r>
        <w:rPr>
          <w:rFonts w:hint="eastAsia" w:ascii="方正大标宋_GBK" w:hAnsi="方正大标宋_GBK" w:eastAsia="方正大标宋_GBK" w:cs="方正大标宋_GBK"/>
          <w:b/>
          <w:bCs/>
          <w:color w:val="FF0000"/>
          <w:w w:val="80"/>
          <w:sz w:val="96"/>
          <w:szCs w:val="96"/>
          <w:lang w:eastAsia="zh-CN"/>
        </w:rPr>
        <w:t>应急管理局</w:t>
      </w:r>
      <w:r>
        <w:rPr>
          <w:rFonts w:hint="eastAsia" w:ascii="方正大标宋_GBK" w:hAnsi="方正大标宋_GBK" w:eastAsia="方正大标宋_GBK" w:cs="方正大标宋_GBK"/>
          <w:b/>
          <w:bCs/>
          <w:color w:val="FF0000"/>
          <w:w w:val="80"/>
          <w:sz w:val="96"/>
          <w:szCs w:val="96"/>
        </w:rPr>
        <w:t>文件</w:t>
      </w:r>
    </w:p>
    <w:p w14:paraId="288A6B5B">
      <w:pPr>
        <w:jc w:val="center"/>
        <w:rPr>
          <w:rFonts w:hint="eastAsia" w:ascii="方正仿宋_GBK" w:hAnsi="方正仿宋_GBK" w:eastAsia="方正仿宋_GBK" w:cs="方正仿宋_GBK"/>
          <w:b/>
          <w:bCs/>
          <w:sz w:val="16"/>
          <w:szCs w:val="16"/>
        </w:rPr>
      </w:pPr>
    </w:p>
    <w:p w14:paraId="6F0E1960">
      <w:pPr>
        <w:jc w:val="center"/>
        <w:rPr>
          <w:rFonts w:hint="eastAsia"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新</w:t>
      </w:r>
      <w:r>
        <w:rPr>
          <w:rFonts w:hint="eastAsia" w:ascii="仿宋_GB2312" w:hAnsi="方正仿宋_GBK" w:eastAsia="仿宋_GB2312" w:cs="方正仿宋_GBK"/>
          <w:sz w:val="32"/>
          <w:szCs w:val="32"/>
          <w:lang w:eastAsia="zh-CN"/>
        </w:rPr>
        <w:t>应急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〔20</w:t>
      </w:r>
      <w:r>
        <w:rPr>
          <w:rFonts w:hint="eastAsia" w:ascii="仿宋_GB2312" w:hAnsi="方正仿宋_GBK" w:eastAsia="仿宋_GB2312" w:cs="方正仿宋_GBK"/>
          <w:sz w:val="32"/>
          <w:szCs w:val="32"/>
          <w:lang w:val="en-US" w:eastAsia="zh-CN"/>
        </w:rPr>
        <w:t>26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〕</w:t>
      </w:r>
      <w:r>
        <w:rPr>
          <w:rFonts w:hint="eastAsia" w:ascii="仿宋_GB2312" w:hAnsi="方正仿宋_GBK" w:eastAsia="仿宋_GB2312" w:cs="方正仿宋_GBK"/>
          <w:sz w:val="32"/>
          <w:szCs w:val="32"/>
          <w:lang w:val="en-US" w:eastAsia="zh-CN"/>
        </w:rPr>
        <w:t>4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号</w:t>
      </w:r>
    </w:p>
    <w:p w14:paraId="0A541C92">
      <w:pPr>
        <w:ind w:left="13" w:hanging="12" w:hangingChars="6"/>
        <w:rPr>
          <w:rFonts w:hint="eastAsia" w:ascii="宋体" w:hAnsi="宋体" w:cs="宋体"/>
          <w:b/>
          <w:color w:val="auto"/>
          <w:sz w:val="44"/>
          <w:lang w:eastAsia="zh-CN"/>
        </w:rPr>
      </w:pPr>
      <w:r>
        <mc:AlternateContent>
          <mc:Choice Requires="wpg">
            <w:drawing>
              <wp:inline distT="0" distB="0" distL="114300" distR="114300">
                <wp:extent cx="5819140" cy="396240"/>
                <wp:effectExtent l="0" t="15875" r="0" b="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819140" cy="396240"/>
                          <a:chOff x="0" y="0"/>
                          <a:chExt cx="9000" cy="624"/>
                        </a:xfrm>
                      </wpg:grpSpPr>
                      <wps:wsp>
                        <wps:cNvPr id="2" name="矩形 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9000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" name="五角星 2"/>
                        <wps:cNvSpPr/>
                        <wps:spPr>
                          <a:xfrm>
                            <a:off x="4226" y="0"/>
                            <a:ext cx="454" cy="454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接连接符 3"/>
                        <wps:cNvCnPr/>
                        <wps:spPr>
                          <a:xfrm>
                            <a:off x="4759" y="240"/>
                            <a:ext cx="4061" cy="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直接连接符 4"/>
                        <wps:cNvCnPr/>
                        <wps:spPr>
                          <a:xfrm>
                            <a:off x="0" y="224"/>
                            <a:ext cx="4140" cy="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31.2pt;width:458.2pt;" coordsize="9000,624" o:gfxdata="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FHx5x1gAAAAQBAAAPAAAA&#10;AAAAAAEAIAAAACIAAABkcnMvZG93bnJldi54bWxQSwECFAAUAAAACACHTuJAGszHLzQDAAD9CgAA&#10;DgAAAAAAAAABACAAAAAlAQAAZHJzL2Uyb0RvYy54bWxQSwUGAAAAAAYABgBZAQAAywYAAAAA&#10;">
                <o:lock v:ext="edit" rotation="t" aspectratio="f"/>
                <v:rect id="矩形 1" o:spid="_x0000_s1026" o:spt="1" style="position:absolute;left:0;top:0;height:624;width:9000;" filled="f" stroked="f" coordsize="21600,21600" o:gfxdata="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qtz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t"/>
                </v:rect>
                <v:shape id="五角星 2" o:spid="_x0000_s1026" style="position:absolute;left:4226;top:0;height:454;width:454;" fillcolor="#FF0000" filled="t" stroked="t" coordsize="454,454" o:gfxdata="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a+H68AAAA&#10;2gAAAA8AAAAAAAAAAQAgAAAAIgAAAGRycy9kb3ducmV2LnhtbFBLAQIUABQAAAAIAIdO4kAzLwWe&#10;OwAAADkAAAAQAAAAAAAAAAEAIAAAAAsBAABkcnMvc2hhcGV4bWwueG1sUEsFBgAAAAAGAAYAWwEA&#10;ALUDAAAAAA==&#10;" path="m0,173l173,173,227,0,280,173,453,173,313,280,367,453,227,346,86,453,140,280xe">
                  <v:path o:connectlocs="227,0;0,173;86,453;367,453;453,173" o:connectangles="247,164,82,82,0"/>
                  <v:fill on="t" focussize="0,0"/>
                  <v:stroke color="#FF0000" joinstyle="miter"/>
                  <v:imagedata o:title=""/>
                  <o:lock v:ext="edit" aspectratio="f"/>
                </v:shape>
                <v:line id="直接连接符 3" o:spid="_x0000_s1026" o:spt="20" style="position:absolute;left:4759;top:240;height:1;width:4061;" filled="f" stroked="t" coordsize="21600,21600" o:gfxdata="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miD6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F0000" joinstyle="round"/>
                  <v:imagedata o:title=""/>
                  <o:lock v:ext="edit" aspectratio="f"/>
                </v:line>
                <v:line id="直接连接符 4" o:spid="_x0000_s1026" o:spt="20" style="position:absolute;left:0;top:224;height:1;width:4140;" filled="f" stroked="t" coordsize="21600,21600" o:gfxdata="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3qLaW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F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69723FD">
      <w:pPr>
        <w:autoSpaceDN w:val="0"/>
        <w:spacing w:line="600" w:lineRule="exact"/>
        <w:jc w:val="center"/>
        <w:rPr>
          <w:rFonts w:hint="eastAsia" w:ascii="宋体" w:hAnsi="宋体" w:cs="宋体"/>
          <w:b/>
          <w:color w:val="auto"/>
          <w:sz w:val="44"/>
          <w:lang w:eastAsia="zh-CN"/>
        </w:rPr>
      </w:pPr>
    </w:p>
    <w:p w14:paraId="67F7E81F">
      <w:pPr>
        <w:autoSpaceDN w:val="0"/>
        <w:spacing w:line="600" w:lineRule="exact"/>
        <w:jc w:val="center"/>
        <w:rPr>
          <w:rFonts w:hint="eastAsia" w:ascii="宋体" w:hAnsi="宋体" w:cs="宋体"/>
          <w:b/>
          <w:color w:val="auto"/>
          <w:sz w:val="44"/>
        </w:rPr>
      </w:pPr>
      <w:r>
        <w:rPr>
          <w:rFonts w:hint="eastAsia" w:ascii="宋体" w:hAnsi="宋体" w:cs="宋体"/>
          <w:b/>
          <w:color w:val="auto"/>
          <w:sz w:val="44"/>
          <w:lang w:eastAsia="zh-CN"/>
        </w:rPr>
        <w:t>新乐市应急管理局2026</w:t>
      </w:r>
      <w:r>
        <w:rPr>
          <w:rFonts w:hint="eastAsia" w:ascii="宋体" w:hAnsi="宋体" w:cs="宋体"/>
          <w:b/>
          <w:color w:val="auto"/>
          <w:sz w:val="44"/>
        </w:rPr>
        <w:t>年跨部门</w:t>
      </w:r>
    </w:p>
    <w:p w14:paraId="69CDEFA5">
      <w:pPr>
        <w:autoSpaceDN w:val="0"/>
        <w:spacing w:line="600" w:lineRule="exact"/>
        <w:jc w:val="center"/>
        <w:rPr>
          <w:rFonts w:hint="eastAsia" w:ascii="宋体" w:hAnsi="宋体" w:cs="宋体"/>
          <w:b/>
          <w:color w:val="auto"/>
          <w:sz w:val="44"/>
        </w:rPr>
      </w:pPr>
      <w:r>
        <w:rPr>
          <w:rFonts w:hint="eastAsia" w:ascii="宋体" w:hAnsi="宋体" w:cs="宋体"/>
          <w:b/>
          <w:color w:val="auto"/>
          <w:sz w:val="44"/>
        </w:rPr>
        <w:t>“双随机、一公开”联合抽查实施方案</w:t>
      </w:r>
    </w:p>
    <w:p w14:paraId="2D307969">
      <w:pPr>
        <w:pStyle w:val="10"/>
      </w:pPr>
    </w:p>
    <w:p w14:paraId="6D926D0E">
      <w:pPr>
        <w:adjustRightInd w:val="0"/>
        <w:spacing w:line="600" w:lineRule="exact"/>
        <w:ind w:left="0" w:firstLine="640" w:firstLineChars="200"/>
        <w:jc w:val="left"/>
        <w:rPr>
          <w:rFonts w:hint="eastAsia"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为深入推进“双随机、一公开”监管与企业信用风险分级分类监管有机结合，</w:t>
      </w:r>
      <w:r>
        <w:rPr>
          <w:rFonts w:hint="eastAsia" w:ascii="仿宋" w:hAnsi="仿宋" w:eastAsia="仿宋" w:cs="仿宋"/>
          <w:color w:val="auto"/>
          <w:kern w:val="60"/>
          <w:sz w:val="32"/>
          <w:szCs w:val="32"/>
        </w:rPr>
        <w:t>提高双随机抽查的精准性和靶向性，</w:t>
      </w:r>
      <w:r>
        <w:rPr>
          <w:rFonts w:hint="eastAsia" w:ascii="仿宋" w:hAnsi="仿宋" w:eastAsia="仿宋" w:cs="仿宋"/>
          <w:color w:val="auto"/>
          <w:sz w:val="32"/>
        </w:rPr>
        <w:t>根据《</w:t>
      </w: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新乐市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2026年“双随机、一公开”监管工作实施方案</w:t>
      </w:r>
      <w:r>
        <w:rPr>
          <w:rFonts w:hint="eastAsia" w:ascii="仿宋" w:hAnsi="仿宋" w:eastAsia="仿宋" w:cs="仿宋"/>
          <w:color w:val="auto"/>
          <w:sz w:val="32"/>
        </w:rPr>
        <w:t>》、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《</w:t>
      </w:r>
      <w:r>
        <w:rPr>
          <w:rFonts w:hint="eastAsia" w:ascii="仿宋" w:hAnsi="仿宋" w:eastAsia="仿宋" w:cs="仿宋"/>
          <w:snapToGrid w:val="0"/>
          <w:color w:val="auto"/>
          <w:spacing w:val="-4"/>
          <w:sz w:val="32"/>
          <w:szCs w:val="32"/>
          <w:lang w:eastAsia="zh-CN"/>
        </w:rPr>
        <w:t>新乐市2026</w:t>
      </w:r>
      <w:r>
        <w:rPr>
          <w:rFonts w:ascii="仿宋" w:hAnsi="仿宋" w:eastAsia="仿宋" w:cs="仿宋"/>
          <w:snapToGrid w:val="0"/>
          <w:color w:val="auto"/>
          <w:spacing w:val="-4"/>
          <w:sz w:val="32"/>
          <w:szCs w:val="32"/>
        </w:rPr>
        <w:t>年度“双随机、一公开”抽查工作计划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》</w:t>
      </w:r>
      <w:r>
        <w:rPr>
          <w:rFonts w:hint="eastAsia" w:ascii="仿宋" w:hAnsi="仿宋" w:eastAsia="仿宋" w:cs="仿宋"/>
          <w:color w:val="auto"/>
          <w:sz w:val="32"/>
        </w:rPr>
        <w:t>，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新乐市应急管理局</w:t>
      </w:r>
      <w:r>
        <w:rPr>
          <w:rFonts w:hint="eastAsia" w:ascii="仿宋" w:hAnsi="仿宋" w:eastAsia="仿宋" w:cs="仿宋"/>
          <w:color w:val="auto"/>
          <w:sz w:val="32"/>
        </w:rPr>
        <w:t>决定组织开展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2026</w:t>
      </w:r>
      <w:r>
        <w:rPr>
          <w:rFonts w:hint="eastAsia" w:ascii="仿宋" w:hAnsi="仿宋" w:eastAsia="仿宋" w:cs="仿宋"/>
          <w:color w:val="auto"/>
          <w:sz w:val="32"/>
        </w:rPr>
        <w:t>年跨部门“双随机、一公开”联合抽查。特制定本方案。</w:t>
      </w:r>
    </w:p>
    <w:p w14:paraId="76C37758">
      <w:pPr>
        <w:autoSpaceDN w:val="0"/>
        <w:spacing w:line="600" w:lineRule="exact"/>
        <w:ind w:right="105" w:rightChars="50" w:firstLine="640" w:firstLineChars="200"/>
        <w:jc w:val="left"/>
        <w:rPr>
          <w:rFonts w:hint="eastAsia" w:ascii="黑体" w:hAnsi="黑体" w:eastAsia="黑体"/>
          <w:color w:val="auto"/>
          <w:sz w:val="32"/>
        </w:rPr>
      </w:pPr>
      <w:r>
        <w:rPr>
          <w:rFonts w:hint="eastAsia" w:ascii="黑体" w:hAnsi="黑体" w:eastAsia="黑体"/>
          <w:color w:val="auto"/>
          <w:sz w:val="32"/>
          <w:lang w:val="en-US" w:eastAsia="zh-CN"/>
        </w:rPr>
        <w:t>一、牵头部门及配合部门</w:t>
      </w:r>
    </w:p>
    <w:p w14:paraId="7D7E0277">
      <w:pPr>
        <w:autoSpaceDN w:val="0"/>
        <w:spacing w:line="600" w:lineRule="exact"/>
        <w:ind w:right="105" w:rightChars="50" w:firstLine="640" w:firstLineChars="200"/>
        <w:jc w:val="left"/>
        <w:rPr>
          <w:rFonts w:hint="eastAsia" w:ascii="仿宋" w:hAnsi="仿宋" w:eastAsia="仿宋" w:cs="仿宋"/>
          <w:color w:val="auto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牵头部门：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新乐市应急管理局</w:t>
      </w: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。</w:t>
      </w:r>
    </w:p>
    <w:p w14:paraId="501275DC">
      <w:pPr>
        <w:autoSpaceDN w:val="0"/>
        <w:spacing w:line="600" w:lineRule="exact"/>
        <w:ind w:left="638" w:leftChars="304" w:right="105" w:rightChars="50"/>
        <w:jc w:val="left"/>
        <w:rPr>
          <w:rFonts w:hint="eastAsia" w:ascii="仿宋" w:hAnsi="仿宋" w:eastAsia="仿宋" w:cs="仿宋"/>
          <w:color w:val="auto"/>
          <w:sz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配合部门：新乐市市场监督管理局、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石家庄市生态环境局新乐市分局。</w:t>
      </w:r>
    </w:p>
    <w:p w14:paraId="34E8B1A6">
      <w:pPr>
        <w:autoSpaceDN w:val="0"/>
        <w:spacing w:line="600" w:lineRule="exact"/>
        <w:ind w:left="638" w:leftChars="304" w:right="105" w:rightChars="50"/>
        <w:jc w:val="left"/>
        <w:rPr>
          <w:rFonts w:ascii="黑体" w:hAnsi="黑体" w:eastAsia="黑体"/>
          <w:color w:val="auto"/>
          <w:sz w:val="32"/>
        </w:rPr>
      </w:pPr>
      <w:r>
        <w:rPr>
          <w:rFonts w:hint="eastAsia" w:ascii="黑体" w:hAnsi="黑体" w:eastAsia="黑体"/>
          <w:color w:val="auto"/>
          <w:sz w:val="32"/>
          <w:lang w:eastAsia="zh-CN"/>
        </w:rPr>
        <w:t>二</w:t>
      </w:r>
      <w:r>
        <w:rPr>
          <w:rFonts w:hint="eastAsia" w:ascii="黑体" w:hAnsi="黑体" w:eastAsia="黑体"/>
          <w:color w:val="auto"/>
          <w:sz w:val="32"/>
        </w:rPr>
        <w:t>、时间安排</w:t>
      </w:r>
    </w:p>
    <w:p w14:paraId="31378364">
      <w:pPr>
        <w:autoSpaceDN w:val="0"/>
        <w:spacing w:line="600" w:lineRule="exact"/>
        <w:ind w:right="105" w:rightChars="50" w:firstLine="640" w:firstLineChars="200"/>
        <w:jc w:val="left"/>
        <w:rPr>
          <w:rFonts w:hint="eastAsia" w:ascii="仿宋" w:hAnsi="仿宋" w:eastAsia="仿宋" w:cs="仿宋"/>
          <w:color w:val="auto"/>
          <w:sz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lang w:eastAsia="zh-CN"/>
        </w:rPr>
        <w:t>2026</w:t>
      </w:r>
      <w:r>
        <w:rPr>
          <w:rFonts w:ascii="仿宋" w:hAnsi="仿宋" w:eastAsia="仿宋" w:cs="仿宋"/>
          <w:color w:val="auto"/>
          <w:sz w:val="32"/>
          <w:lang w:eastAsia="zh-CN"/>
        </w:rPr>
        <w:t>年</w:t>
      </w: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5</w:t>
      </w:r>
      <w:r>
        <w:rPr>
          <w:rFonts w:ascii="仿宋" w:hAnsi="仿宋" w:eastAsia="仿宋" w:cs="仿宋"/>
          <w:color w:val="auto"/>
          <w:sz w:val="32"/>
          <w:lang w:eastAsia="zh-CN"/>
        </w:rPr>
        <w:t>月</w:t>
      </w: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18日至8</w:t>
      </w:r>
      <w:r>
        <w:rPr>
          <w:rFonts w:ascii="仿宋" w:hAnsi="仿宋" w:eastAsia="仿宋" w:cs="仿宋"/>
          <w:color w:val="auto"/>
          <w:sz w:val="32"/>
          <w:lang w:eastAsia="zh-CN"/>
        </w:rPr>
        <w:t>月</w:t>
      </w: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31日。</w:t>
      </w:r>
    </w:p>
    <w:p w14:paraId="22B52848">
      <w:pPr>
        <w:autoSpaceDN w:val="0"/>
        <w:spacing w:line="600" w:lineRule="exact"/>
        <w:ind w:left="105" w:leftChars="50" w:right="105" w:rightChars="50"/>
        <w:jc w:val="left"/>
        <w:rPr>
          <w:rFonts w:ascii="黑体" w:hAnsi="黑体" w:eastAsia="黑体"/>
          <w:color w:val="auto"/>
          <w:sz w:val="32"/>
        </w:rPr>
      </w:pPr>
      <w:r>
        <w:rPr>
          <w:rFonts w:hint="eastAsia" w:ascii="黑体" w:hAnsi="黑体" w:eastAsia="黑体"/>
          <w:color w:val="auto"/>
          <w:sz w:val="32"/>
        </w:rPr>
        <w:t xml:space="preserve">   </w:t>
      </w:r>
      <w:r>
        <w:rPr>
          <w:rFonts w:hint="eastAsia" w:ascii="黑体" w:hAnsi="黑体" w:eastAsia="黑体"/>
          <w:color w:val="auto"/>
          <w:sz w:val="32"/>
          <w:lang w:eastAsia="zh-CN"/>
        </w:rPr>
        <w:t>三</w:t>
      </w:r>
      <w:r>
        <w:rPr>
          <w:rFonts w:hint="eastAsia" w:ascii="黑体" w:hAnsi="黑体" w:eastAsia="黑体"/>
          <w:color w:val="auto"/>
          <w:sz w:val="32"/>
        </w:rPr>
        <w:t>、抽查事项内容</w:t>
      </w:r>
    </w:p>
    <w:p w14:paraId="7D0B1BEC">
      <w:pPr>
        <w:autoSpaceDN w:val="0"/>
        <w:spacing w:line="600" w:lineRule="exact"/>
        <w:ind w:right="105" w:rightChars="50" w:firstLine="640" w:firstLineChars="200"/>
        <w:rPr>
          <w:rFonts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  <w:lang w:eastAsia="zh-CN"/>
        </w:rPr>
        <w:t>新乐市应急管理局：危险化学品及相关企业的安全检查；工贸行业企业的安全检查；安全生产技术服务机构的行政检查</w:t>
      </w:r>
      <w:r>
        <w:rPr>
          <w:rFonts w:ascii="仿宋" w:hAnsi="仿宋" w:eastAsia="仿宋" w:cs="仿宋"/>
          <w:color w:val="auto"/>
          <w:sz w:val="32"/>
        </w:rPr>
        <w:t>。</w:t>
      </w:r>
    </w:p>
    <w:p w14:paraId="4A5249A3">
      <w:pPr>
        <w:autoSpaceDN w:val="0"/>
        <w:spacing w:line="600" w:lineRule="exact"/>
        <w:ind w:right="105" w:rightChars="50"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新乐市市场监督管理局</w:t>
      </w:r>
      <w:r>
        <w:rPr>
          <w:rFonts w:ascii="黑体" w:hAnsi="黑体" w:eastAsia="黑体" w:cs="仿宋"/>
          <w:color w:val="auto"/>
          <w:sz w:val="32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登记事项检查；价格行为检查；特种设备常规监督检查（使用单位）；生产、流通领域产品质量监督抽查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 w14:paraId="50A66A2C">
      <w:pPr>
        <w:autoSpaceDN w:val="0"/>
        <w:spacing w:line="600" w:lineRule="exact"/>
        <w:ind w:right="105" w:rightChars="50" w:firstLine="640" w:firstLineChars="200"/>
        <w:rPr>
          <w:rFonts w:hint="eastAsia"/>
          <w:color w:val="auto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lang w:eastAsia="zh-CN"/>
        </w:rPr>
        <w:t>石家庄市生态环境局新乐市分局：对建设项目（含海岸工程建设项目）、排放污染物的企业事业单位和其他生产经营者的检查。</w:t>
      </w:r>
    </w:p>
    <w:p w14:paraId="75322E3F">
      <w:pPr>
        <w:autoSpaceDN w:val="0"/>
        <w:spacing w:line="600" w:lineRule="exact"/>
        <w:ind w:right="105" w:rightChars="50" w:firstLine="640" w:firstLineChars="200"/>
        <w:rPr>
          <w:rFonts w:ascii="黑体" w:hAnsi="黑体" w:eastAsia="黑体"/>
          <w:color w:val="auto"/>
          <w:sz w:val="32"/>
        </w:rPr>
      </w:pPr>
      <w:r>
        <w:rPr>
          <w:rFonts w:hint="eastAsia" w:ascii="黑体" w:hAnsi="黑体" w:eastAsia="黑体"/>
          <w:color w:val="auto"/>
          <w:sz w:val="32"/>
          <w:lang w:eastAsia="zh-CN"/>
        </w:rPr>
        <w:t>四</w:t>
      </w:r>
      <w:r>
        <w:rPr>
          <w:rFonts w:hint="eastAsia" w:ascii="黑体" w:hAnsi="黑体" w:eastAsia="黑体"/>
          <w:color w:val="auto"/>
          <w:sz w:val="32"/>
        </w:rPr>
        <w:t>、抽查对象范围及比例</w:t>
      </w:r>
    </w:p>
    <w:p w14:paraId="68F89FB9">
      <w:pPr>
        <w:pStyle w:val="10"/>
        <w:snapToGrid w:val="0"/>
        <w:spacing w:after="0" w:line="600" w:lineRule="exact"/>
        <w:ind w:left="0" w:leftChars="0" w:firstLine="480" w:firstLineChars="150"/>
        <w:rPr>
          <w:rFonts w:hint="eastAsia" w:ascii="仿宋" w:hAnsi="仿宋" w:eastAsia="仿宋" w:cs="仿宋"/>
          <w:color w:val="auto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w w:val="100"/>
          <w:sz w:val="32"/>
          <w:szCs w:val="32"/>
        </w:rPr>
        <w:t>(一)抽查对象范围</w:t>
      </w:r>
      <w:r>
        <w:rPr>
          <w:rFonts w:ascii="仿宋" w:hAnsi="仿宋" w:eastAsia="仿宋" w:cs="仿宋"/>
          <w:color w:val="auto"/>
          <w:w w:val="1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auto"/>
          <w:w w:val="100"/>
          <w:sz w:val="32"/>
          <w:szCs w:val="32"/>
        </w:rPr>
        <w:t>危险化学品生产、经营企业；工贸企业；烟花爆竹生产经营存储企业</w:t>
      </w:r>
      <w:r>
        <w:rPr>
          <w:rFonts w:hint="eastAsia" w:ascii="仿宋" w:hAnsi="仿宋" w:eastAsia="仿宋" w:cs="仿宋"/>
          <w:color w:val="auto"/>
          <w:w w:val="100"/>
          <w:sz w:val="32"/>
          <w:szCs w:val="32"/>
          <w:lang w:eastAsia="zh-CN"/>
        </w:rPr>
        <w:t>。</w:t>
      </w:r>
    </w:p>
    <w:p w14:paraId="67EA56CD">
      <w:pPr>
        <w:pStyle w:val="10"/>
        <w:snapToGrid w:val="0"/>
        <w:spacing w:after="0" w:line="600" w:lineRule="exact"/>
        <w:ind w:left="160" w:leftChars="76" w:firstLine="320" w:firstLineChars="100"/>
        <w:rPr>
          <w:rFonts w:ascii="仿宋" w:hAnsi="仿宋" w:eastAsia="仿宋" w:cs="仿宋"/>
          <w:color w:val="auto"/>
          <w:w w:val="10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w w:val="100"/>
          <w:sz w:val="32"/>
          <w:szCs w:val="32"/>
        </w:rPr>
        <w:t>(</w:t>
      </w:r>
      <w:r>
        <w:rPr>
          <w:rFonts w:hint="eastAsia" w:ascii="仿宋" w:hAnsi="仿宋" w:eastAsia="仿宋" w:cs="仿宋"/>
          <w:color w:val="auto"/>
          <w:w w:val="10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color w:val="auto"/>
          <w:w w:val="100"/>
          <w:sz w:val="32"/>
          <w:szCs w:val="32"/>
        </w:rPr>
        <w:t>)抽取比例：</w:t>
      </w:r>
      <w:r>
        <w:rPr>
          <w:rFonts w:hint="eastAsia" w:ascii="仿宋" w:hAnsi="仿宋" w:eastAsia="仿宋" w:cs="仿宋"/>
          <w:color w:val="auto"/>
          <w:w w:val="100"/>
          <w:sz w:val="32"/>
          <w:szCs w:val="32"/>
          <w:lang w:val="en-US" w:eastAsia="zh-CN"/>
        </w:rPr>
        <w:t>按照信用风险分级分类等级抽取涉及行业</w:t>
      </w:r>
      <w:r>
        <w:rPr>
          <w:rFonts w:ascii="仿宋" w:hAnsi="仿宋" w:eastAsia="仿宋" w:cs="仿宋"/>
          <w:color w:val="auto"/>
          <w:w w:val="100"/>
          <w:sz w:val="32"/>
          <w:szCs w:val="32"/>
          <w:lang w:val="en-US" w:eastAsia="zh-CN"/>
        </w:rPr>
        <w:t>比例</w:t>
      </w:r>
      <w:r>
        <w:rPr>
          <w:rFonts w:hint="eastAsia" w:ascii="仿宋" w:hAnsi="仿宋" w:eastAsia="仿宋" w:cs="仿宋"/>
          <w:color w:val="auto"/>
          <w:w w:val="100"/>
          <w:sz w:val="32"/>
          <w:szCs w:val="32"/>
          <w:lang w:val="en-US" w:eastAsia="zh-CN"/>
        </w:rPr>
        <w:t>不低于3%</w:t>
      </w:r>
      <w:r>
        <w:rPr>
          <w:rFonts w:ascii="仿宋" w:hAnsi="仿宋" w:eastAsia="仿宋" w:cs="仿宋"/>
          <w:color w:val="auto"/>
          <w:w w:val="100"/>
          <w:sz w:val="32"/>
          <w:szCs w:val="32"/>
          <w:lang w:val="en-US" w:eastAsia="zh-CN"/>
        </w:rPr>
        <w:t>。</w:t>
      </w:r>
    </w:p>
    <w:p w14:paraId="7AC0416F">
      <w:pPr>
        <w:pStyle w:val="10"/>
        <w:snapToGrid w:val="0"/>
        <w:spacing w:after="0" w:line="600" w:lineRule="exact"/>
        <w:ind w:left="160" w:leftChars="76" w:firstLine="562" w:firstLineChars="200"/>
        <w:rPr>
          <w:rFonts w:hint="eastAsia" w:ascii="黑体" w:hAnsi="黑体" w:eastAsia="黑体"/>
          <w:color w:val="auto"/>
          <w:sz w:val="32"/>
        </w:rPr>
      </w:pPr>
      <w:r>
        <w:rPr>
          <w:rFonts w:hint="eastAsia" w:ascii="黑体" w:hAnsi="黑体" w:eastAsia="黑体"/>
          <w:color w:val="auto"/>
          <w:sz w:val="32"/>
          <w:lang w:eastAsia="zh-CN"/>
        </w:rPr>
        <w:t>五</w:t>
      </w:r>
      <w:r>
        <w:rPr>
          <w:rFonts w:hint="eastAsia" w:ascii="黑体" w:hAnsi="黑体" w:eastAsia="黑体"/>
          <w:color w:val="auto"/>
          <w:sz w:val="32"/>
        </w:rPr>
        <w:t>、名单抽取及派发</w:t>
      </w:r>
    </w:p>
    <w:p w14:paraId="528B9CBD">
      <w:pPr>
        <w:widowControl/>
        <w:spacing w:line="600" w:lineRule="exact"/>
        <w:ind w:left="0" w:right="105" w:rightChars="50" w:firstLine="480" w:firstLineChars="150"/>
        <w:rPr>
          <w:rFonts w:hint="eastAsia"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（一）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新乐市应急管理局</w:t>
      </w:r>
      <w:r>
        <w:rPr>
          <w:rFonts w:hint="eastAsia" w:ascii="仿宋" w:hAnsi="仿宋" w:eastAsia="仿宋" w:cs="仿宋"/>
          <w:color w:val="auto"/>
          <w:sz w:val="32"/>
        </w:rPr>
        <w:t>通过“河北省双随机执法监管平台”从检查对象名录库抽取确定被检查对象，由“河北省双随机执法监管平台”自动派发到各监管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部门</w:t>
      </w:r>
      <w:r>
        <w:rPr>
          <w:rFonts w:hint="eastAsia" w:ascii="仿宋" w:hAnsi="仿宋" w:eastAsia="仿宋" w:cs="仿宋"/>
          <w:color w:val="auto"/>
          <w:sz w:val="32"/>
        </w:rPr>
        <w:t>，由各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监管部门</w:t>
      </w:r>
      <w:r>
        <w:rPr>
          <w:rFonts w:hint="eastAsia" w:ascii="仿宋" w:hAnsi="仿宋" w:eastAsia="仿宋" w:cs="仿宋"/>
          <w:color w:val="auto"/>
          <w:sz w:val="32"/>
        </w:rPr>
        <w:t>的管理员在两个工作日内完成比对和确认。</w:t>
      </w:r>
    </w:p>
    <w:p w14:paraId="092AF065">
      <w:pPr>
        <w:widowControl/>
        <w:spacing w:line="600" w:lineRule="exact"/>
        <w:ind w:left="0" w:right="105" w:rightChars="50" w:firstLine="480" w:firstLineChars="150"/>
        <w:rPr>
          <w:rFonts w:hint="eastAsia"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（二）各监管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部门</w:t>
      </w:r>
      <w:r>
        <w:rPr>
          <w:rFonts w:hint="eastAsia" w:ascii="仿宋" w:hAnsi="仿宋" w:eastAsia="仿宋" w:cs="仿宋"/>
          <w:color w:val="auto"/>
          <w:sz w:val="32"/>
        </w:rPr>
        <w:t>通过“河北省双随机执法监管平台”对被检查对象进行认领，从执法人员名录库中随机抽取执法检查人员进行匹配编组。</w:t>
      </w:r>
    </w:p>
    <w:p w14:paraId="369F0E93">
      <w:pPr>
        <w:widowControl/>
        <w:spacing w:line="600" w:lineRule="exact"/>
        <w:ind w:right="105" w:rightChars="50" w:firstLine="640" w:firstLineChars="200"/>
        <w:rPr>
          <w:rFonts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（三）被检查对象和检查人员确定后，由“河北省双随机执法监管平台”随机匹配，自动生成一户企业一份随机抽查联合检查记录表（简称“一企一表”），并自动派发到执法检查人员（可直接在APP端查看），实施检查。</w:t>
      </w:r>
    </w:p>
    <w:p w14:paraId="5F1640D6">
      <w:pPr>
        <w:autoSpaceDN w:val="0"/>
        <w:spacing w:line="600" w:lineRule="exact"/>
        <w:ind w:firstLine="800" w:firstLineChars="250"/>
        <w:rPr>
          <w:rFonts w:ascii="仿宋" w:hAnsi="仿宋" w:eastAsia="仿宋"/>
          <w:color w:val="auto"/>
          <w:sz w:val="32"/>
        </w:rPr>
      </w:pPr>
      <w:r>
        <w:rPr>
          <w:rFonts w:hint="eastAsia" w:ascii="黑体" w:hAnsi="黑体" w:eastAsia="黑体"/>
          <w:color w:val="auto"/>
          <w:sz w:val="32"/>
          <w:lang w:eastAsia="zh-CN"/>
        </w:rPr>
        <w:t>六</w:t>
      </w:r>
      <w:r>
        <w:rPr>
          <w:rFonts w:hint="eastAsia" w:ascii="黑体" w:hAnsi="黑体" w:eastAsia="黑体"/>
          <w:color w:val="auto"/>
          <w:sz w:val="32"/>
        </w:rPr>
        <w:t>、组织实施</w:t>
      </w:r>
    </w:p>
    <w:p w14:paraId="182BCCAB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（一）任务分工</w:t>
      </w:r>
    </w:p>
    <w:p w14:paraId="07F1D5A0">
      <w:pPr>
        <w:autoSpaceDN w:val="0"/>
        <w:spacing w:line="600" w:lineRule="exact"/>
        <w:ind w:right="105" w:rightChars="50"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1.本次联合抽查由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新乐市应急管理局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牵头，纳入跨部门“双随机、一公开”联合抽查的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有关部门为：</w:t>
      </w: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>新乐市市场监督管理局、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石家庄市生态环境局新乐市分局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。各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有关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部门具体落实本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部门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“双随机、一公开”联合抽查工作。</w:t>
      </w:r>
    </w:p>
    <w:p w14:paraId="211237C7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.随机抽取的执法人员，无法独立完成专业抽查事项的，由执法检查人员所在部门选派专业人员协助指导完成工作。</w:t>
      </w:r>
    </w:p>
    <w:p w14:paraId="73F389D1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（二）检查方式</w:t>
      </w:r>
    </w:p>
    <w:p w14:paraId="454D2D96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1.现场检查一般采取信息比对、实地核查等方法；</w:t>
      </w:r>
    </w:p>
    <w:p w14:paraId="063F01BA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2.通知检查对象，电话通知或下达检查通知书，告知被检查对象检查内容及需要检查对象配合的事宜。</w:t>
      </w:r>
    </w:p>
    <w:p w14:paraId="341C64B2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对企业进行实地核查时，应当出示相应证件，检查人员应当填写“一企一表”，并由被检查企业法定代表人签字或盖章确认；被检查对象拒绝签字的应当在“一企一表”上如实记录；以上操作可在“河北省双随机执法监管平台”手机APP上完成。</w:t>
      </w:r>
    </w:p>
    <w:p w14:paraId="78014922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（三）抽查结果公示</w:t>
      </w:r>
    </w:p>
    <w:p w14:paraId="0B158371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执法检查人员要自完成“双随机、一公开”联合抽查工作结束之日起20个工作日内，在“河北省双随机执法监管平台”完成录入、审核，抽查结果由系统完成数据交换自动归集到市场主体名下，通过“河北省双随机执法监管平台”自动交换到“国家市场主体信用信息公示系统”（河北）向社会公示。</w:t>
      </w:r>
    </w:p>
    <w:p w14:paraId="3065CBBB">
      <w:pPr>
        <w:autoSpaceDN w:val="0"/>
        <w:spacing w:line="60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（四）后续结果处置。</w:t>
      </w:r>
    </w:p>
    <w:p w14:paraId="71B99415">
      <w:pPr>
        <w:autoSpaceDN w:val="0"/>
        <w:spacing w:line="60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各部门要根据职责和管辖权限，对检查中发现的违法线索，及时依法处理或移交有关部门，并在20个工作日内将后续处置结果录入“河北省双随机执法监管平台”中“后续处置”模块，确保后续监管到位，形成监管闭环。</w:t>
      </w:r>
    </w:p>
    <w:p w14:paraId="32F1F3E6">
      <w:pPr>
        <w:autoSpaceDN w:val="0"/>
        <w:spacing w:line="600" w:lineRule="exact"/>
        <w:ind w:firstLine="640"/>
        <w:rPr>
          <w:rFonts w:ascii="黑体" w:hAnsi="黑体" w:eastAsia="黑体"/>
          <w:color w:val="auto"/>
          <w:sz w:val="32"/>
        </w:rPr>
      </w:pPr>
      <w:r>
        <w:rPr>
          <w:rFonts w:hint="eastAsia" w:ascii="黑体" w:hAnsi="黑体" w:eastAsia="黑体"/>
          <w:color w:val="auto"/>
          <w:sz w:val="32"/>
        </w:rPr>
        <w:t xml:space="preserve"> </w:t>
      </w:r>
      <w:r>
        <w:rPr>
          <w:rFonts w:hint="eastAsia" w:ascii="黑体" w:hAnsi="黑体" w:eastAsia="黑体"/>
          <w:color w:val="auto"/>
          <w:sz w:val="32"/>
          <w:lang w:eastAsia="zh-CN"/>
        </w:rPr>
        <w:t>七</w:t>
      </w:r>
      <w:r>
        <w:rPr>
          <w:rFonts w:hint="eastAsia" w:ascii="黑体" w:hAnsi="黑体" w:eastAsia="黑体"/>
          <w:color w:val="auto"/>
          <w:sz w:val="32"/>
        </w:rPr>
        <w:t>、工作要求</w:t>
      </w:r>
    </w:p>
    <w:p w14:paraId="3A1B73D9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（一）明确工作职责，做好组织保障。加强对“双随机、一公开”联合抽查工作的组织领导，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牵头</w:t>
      </w:r>
      <w:r>
        <w:rPr>
          <w:rFonts w:hint="eastAsia" w:ascii="仿宋" w:hAnsi="仿宋" w:eastAsia="仿宋" w:cs="仿宋"/>
          <w:color w:val="auto"/>
          <w:sz w:val="32"/>
        </w:rPr>
        <w:t>部门做好牵头工作；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各</w:t>
      </w:r>
      <w:r>
        <w:rPr>
          <w:rFonts w:hint="eastAsia" w:ascii="仿宋" w:hAnsi="仿宋" w:eastAsia="仿宋" w:cs="仿宋"/>
          <w:color w:val="auto"/>
          <w:sz w:val="32"/>
        </w:rPr>
        <w:t>有关部门要加强对本系统抽查任务的业务指导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</w:rPr>
        <w:t>强化组织保障、机制保障、经费保障，确保各项措施有序推进。</w:t>
      </w:r>
    </w:p>
    <w:p w14:paraId="6E3716F1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（二）周密制定计划，认真抓好落实。各有关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部门</w:t>
      </w:r>
      <w:r>
        <w:rPr>
          <w:rFonts w:hint="eastAsia" w:ascii="仿宋" w:hAnsi="仿宋" w:eastAsia="仿宋" w:cs="仿宋"/>
          <w:color w:val="auto"/>
          <w:sz w:val="32"/>
        </w:rPr>
        <w:t>要按照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市</w:t>
      </w:r>
      <w:r>
        <w:rPr>
          <w:rFonts w:hint="eastAsia" w:ascii="仿宋" w:hAnsi="仿宋" w:eastAsia="仿宋" w:cs="仿宋"/>
          <w:color w:val="auto"/>
          <w:sz w:val="32"/>
        </w:rPr>
        <w:t>政府统一部署，积极筹划，精心组织，加强宣传，认真制定具体工作方案，严格按照《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石家庄市人民政府</w:t>
      </w:r>
      <w:r>
        <w:rPr>
          <w:rFonts w:hint="eastAsia" w:ascii="仿宋" w:hAnsi="仿宋" w:eastAsia="仿宋" w:cs="仿宋"/>
          <w:color w:val="auto"/>
          <w:sz w:val="32"/>
        </w:rPr>
        <w:t>关于在市场监管领域全面推行部门联合“双随机、一公开”监管的实施意见》要求，按时完成各项检查工作。</w:t>
      </w:r>
    </w:p>
    <w:p w14:paraId="0F4B4FC0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（三）落实“应联尽联”，提高检查效率。牵头部门的执法检查人员负责组织协调管理，统一安排检查日程、检查方式，组织实施联合检查。其他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部门</w:t>
      </w:r>
      <w:r>
        <w:rPr>
          <w:rFonts w:hint="eastAsia" w:ascii="仿宋" w:hAnsi="仿宋" w:eastAsia="仿宋" w:cs="仿宋"/>
          <w:color w:val="auto"/>
          <w:sz w:val="32"/>
        </w:rPr>
        <w:t>检查人员应各司其职，配合、服从安排，分工协作完成检查任务，实现“进一次门、查多项事”，避免多头执法、重复检查，减轻企业负担。</w:t>
      </w:r>
    </w:p>
    <w:p w14:paraId="45C90D6C">
      <w:pPr>
        <w:autoSpaceDN w:val="0"/>
        <w:spacing w:line="600" w:lineRule="exact"/>
        <w:ind w:firstLine="640"/>
        <w:rPr>
          <w:rFonts w:ascii="仿宋" w:hAnsi="仿宋" w:eastAsia="仿宋" w:cs="仿宋"/>
          <w:color w:val="auto"/>
          <w:sz w:val="32"/>
        </w:rPr>
      </w:pPr>
      <w:r>
        <w:rPr>
          <w:rFonts w:hint="eastAsia" w:ascii="仿宋" w:hAnsi="仿宋" w:eastAsia="仿宋" w:cs="仿宋"/>
          <w:color w:val="auto"/>
          <w:sz w:val="32"/>
        </w:rPr>
        <w:t>(四)寓监管于服务，减轻企业负担。在联合抽查工作中，各有关部门要注重服务与监管相结合，检查人员在监督检查工作中要严格遵守廉政纪律，依法行政，切实增强检查活动的集约性、简便性与有效性，避免增加企业负担。同时要增强服务意识，把上门检查与上门服务有机结合起来，主动接受企业咨询，为企业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解疑释惑</w:t>
      </w:r>
      <w:r>
        <w:rPr>
          <w:rFonts w:hint="eastAsia" w:ascii="仿宋" w:hAnsi="仿宋" w:eastAsia="仿宋" w:cs="仿宋"/>
          <w:color w:val="auto"/>
          <w:sz w:val="32"/>
        </w:rPr>
        <w:t>。</w:t>
      </w:r>
    </w:p>
    <w:p w14:paraId="1C359139">
      <w:pPr>
        <w:autoSpaceDN w:val="0"/>
        <w:spacing w:line="60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</w:rPr>
        <w:t>(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五</w:t>
      </w:r>
      <w:r>
        <w:rPr>
          <w:rFonts w:hint="eastAsia" w:ascii="仿宋" w:hAnsi="仿宋" w:eastAsia="仿宋" w:cs="仿宋"/>
          <w:color w:val="auto"/>
          <w:sz w:val="32"/>
        </w:rPr>
        <w:t>)按时公示结果，促进信用监管。联合抽查工作要做好检查结果的公示，严格按照《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新乐市2026</w:t>
      </w:r>
      <w:r>
        <w:rPr>
          <w:rFonts w:hint="eastAsia" w:ascii="仿宋" w:hAnsi="仿宋" w:eastAsia="仿宋" w:cs="仿宋"/>
          <w:color w:val="auto"/>
          <w:sz w:val="32"/>
        </w:rPr>
        <w:t>年“双随机、一公开”监管工作实施方案》的要求，及时录入并公示检查结果。同时，对抽查中发现的问题依法依规处置，及时回填后续处理结果，形成完整闭环</w:t>
      </w:r>
      <w:r>
        <w:rPr>
          <w:rFonts w:hint="eastAsia" w:ascii="仿宋" w:hAnsi="仿宋" w:eastAsia="仿宋" w:cs="仿宋"/>
          <w:color w:val="auto"/>
          <w:sz w:val="32"/>
          <w:lang w:eastAsia="zh-CN"/>
        </w:rPr>
        <w:t>。</w:t>
      </w:r>
    </w:p>
    <w:p w14:paraId="13C9DEA0">
      <w:pPr>
        <w:pStyle w:val="10"/>
        <w:rPr>
          <w:rFonts w:hint="eastAsia" w:ascii="仿宋" w:hAnsi="仿宋" w:eastAsia="仿宋" w:cs="仿宋"/>
          <w:color w:val="auto"/>
          <w:sz w:val="32"/>
          <w:lang w:eastAsia="zh-CN"/>
        </w:rPr>
      </w:pPr>
    </w:p>
    <w:p w14:paraId="45796D0E">
      <w:pPr>
        <w:pStyle w:val="10"/>
        <w:rPr>
          <w:rFonts w:hint="eastAsia" w:ascii="仿宋" w:hAnsi="仿宋" w:eastAsia="仿宋" w:cs="仿宋"/>
          <w:color w:val="auto"/>
          <w:sz w:val="32"/>
          <w:lang w:eastAsia="zh-CN"/>
        </w:rPr>
      </w:pPr>
    </w:p>
    <w:p w14:paraId="65CFD15E">
      <w:pPr>
        <w:autoSpaceDN w:val="0"/>
        <w:spacing w:line="60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 xml:space="preserve">                               新乐市应急管理局</w:t>
      </w:r>
    </w:p>
    <w:p w14:paraId="4326CC05">
      <w:pPr>
        <w:autoSpaceDN w:val="0"/>
        <w:spacing w:line="60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lang w:val="en-US" w:eastAsia="zh-CN"/>
        </w:rPr>
        <w:t xml:space="preserve">                                 2026年5月18日</w:t>
      </w:r>
    </w:p>
    <w:p w14:paraId="1C357E98">
      <w:pPr>
        <w:spacing w:line="560" w:lineRule="exact"/>
        <w:jc w:val="both"/>
        <w:rPr>
          <w:rFonts w:hint="eastAsia" w:asciiTheme="majorEastAsia" w:hAnsiTheme="majorEastAsia" w:eastAsiaTheme="majorEastAsia" w:cstheme="majorEastAsia"/>
          <w:b/>
          <w:color w:val="auto"/>
          <w:spacing w:val="-6"/>
          <w:sz w:val="44"/>
          <w:u w:val="single"/>
          <w:lang w:val="en-US" w:eastAsia="zh-CN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2098" w:right="1418" w:bottom="1644" w:left="1588" w:header="851" w:footer="992" w:gutter="0"/>
          <w:pgNumType w:fmt="numberInDash"/>
          <w:cols w:space="720" w:num="1"/>
          <w:titlePg/>
          <w:docGrid w:linePitch="312" w:charSpace="0"/>
        </w:sectPr>
      </w:pPr>
    </w:p>
    <w:p w14:paraId="6AA7C9A3">
      <w:pPr>
        <w:pStyle w:val="10"/>
        <w:rPr>
          <w:rFonts w:hint="eastAsia"/>
          <w:color w:val="auto"/>
          <w:lang w:val="en-US" w:eastAsia="zh-CN"/>
        </w:rPr>
      </w:pPr>
    </w:p>
    <w:p w14:paraId="67D92418">
      <w:pPr>
        <w:spacing w:line="560" w:lineRule="exact"/>
        <w:jc w:val="both"/>
        <w:rPr>
          <w:rFonts w:asciiTheme="majorEastAsia" w:hAnsiTheme="majorEastAsia" w:eastAsiaTheme="majorEastAsia" w:cstheme="majorEastAsia"/>
          <w:b/>
          <w:color w:val="auto"/>
          <w:spacing w:val="-6"/>
          <w:sz w:val="44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pacing w:val="-6"/>
          <w:sz w:val="44"/>
          <w:u w:val="single"/>
          <w:lang w:val="en-US" w:eastAsia="zh-CN"/>
        </w:rPr>
        <w:t xml:space="preserve">           </w:t>
      </w:r>
      <w:r>
        <w:rPr>
          <w:rFonts w:hint="eastAsia" w:asciiTheme="majorEastAsia" w:hAnsiTheme="majorEastAsia" w:eastAsiaTheme="majorEastAsia" w:cstheme="majorEastAsia"/>
          <w:b/>
          <w:color w:val="auto"/>
          <w:spacing w:val="-6"/>
          <w:sz w:val="44"/>
          <w:lang w:eastAsia="zh-CN"/>
        </w:rPr>
        <w:t>2026</w:t>
      </w:r>
      <w:r>
        <w:rPr>
          <w:rFonts w:hint="eastAsia" w:asciiTheme="majorEastAsia" w:hAnsiTheme="majorEastAsia" w:eastAsiaTheme="majorEastAsia" w:cstheme="majorEastAsia"/>
          <w:b/>
          <w:color w:val="auto"/>
          <w:spacing w:val="-6"/>
          <w:sz w:val="44"/>
        </w:rPr>
        <w:t>年跨部门“双随机、一公开”联合抽查情况统计表</w:t>
      </w:r>
    </w:p>
    <w:p w14:paraId="4DD95A08">
      <w:pPr>
        <w:spacing w:line="560" w:lineRule="exact"/>
        <w:ind w:firstLine="883" w:firstLineChars="200"/>
        <w:jc w:val="center"/>
        <w:rPr>
          <w:rFonts w:asciiTheme="majorEastAsia" w:hAnsiTheme="majorEastAsia" w:eastAsiaTheme="majorEastAsia" w:cstheme="majorEastAsia"/>
          <w:b/>
          <w:color w:val="auto"/>
          <w:sz w:val="44"/>
        </w:rPr>
      </w:pPr>
    </w:p>
    <w:tbl>
      <w:tblPr>
        <w:tblStyle w:val="15"/>
        <w:tblW w:w="13517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500"/>
        <w:gridCol w:w="1320"/>
        <w:gridCol w:w="1368"/>
        <w:gridCol w:w="1380"/>
        <w:gridCol w:w="1488"/>
        <w:gridCol w:w="1260"/>
        <w:gridCol w:w="1224"/>
        <w:gridCol w:w="1596"/>
        <w:gridCol w:w="1344"/>
      </w:tblGrid>
      <w:tr w14:paraId="700D0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2E46A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随机抽查企业（户）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632D3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随机抽取执法检查人员（人次）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B8CB3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涉及检查部门（个）</w:t>
            </w:r>
          </w:p>
        </w:tc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FDE27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检查项目（个）</w:t>
            </w:r>
          </w:p>
        </w:tc>
        <w:tc>
          <w:tcPr>
            <w:tcW w:w="2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1F425"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抽查结果</w:t>
            </w:r>
          </w:p>
        </w:tc>
        <w:tc>
          <w:tcPr>
            <w:tcW w:w="4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54422">
            <w:pPr>
              <w:spacing w:line="560" w:lineRule="exact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抽查结果处理</w:t>
            </w:r>
          </w:p>
        </w:tc>
        <w:tc>
          <w:tcPr>
            <w:tcW w:w="13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529A5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现场解答疑难问题（个）</w:t>
            </w:r>
          </w:p>
        </w:tc>
      </w:tr>
      <w:tr w14:paraId="3C6D3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738A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FE33F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460BA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D1B9D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E5FBE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发现问题事项（项）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58E78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发现问题企业（户）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2D994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责令改正（户）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5A323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应列入异常（户）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B3838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涉嫌违法立案调查（户）</w:t>
            </w:r>
          </w:p>
        </w:tc>
        <w:tc>
          <w:tcPr>
            <w:tcW w:w="13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79288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182CC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187FC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D0F57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28A47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431DE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CF937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80D0D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5F3B8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7F1D6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DDA33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8F41B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1D16C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99208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0946A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44FE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D18B3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4523C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56DA1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FC900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6C1EE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51AEB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9CED0">
            <w:pPr>
              <w:spacing w:line="560" w:lineRule="exact"/>
              <w:jc w:val="both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13AE8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97DFF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D4C3D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084F6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0F605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F29C5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595D8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FBB0E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61CE7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EF7DA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8159B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33166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9D7E7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BC1A0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480E2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D5A45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ABC05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E7320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8C13C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450B6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44AC6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14CD4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6C64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9BAD0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465E6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D78A2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BE914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A310F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49978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C7F72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24159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22395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FD6E6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2326C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9974A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AB29F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3333B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4A73F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FB54C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0F496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0DB72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D3251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C586C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23F83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30F5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1720B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93BC8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0BF8F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5FA92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E608A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16422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D9A69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F303D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1CEB6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70D49">
            <w:pPr>
              <w:spacing w:line="560" w:lineRule="exact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</w:tbl>
    <w:p w14:paraId="2FE28474">
      <w:pPr>
        <w:rPr>
          <w:rFonts w:ascii="仿宋" w:hAnsi="仿宋" w:eastAsia="仿宋" w:cs="仿宋"/>
          <w:color w:val="auto"/>
          <w:sz w:val="32"/>
          <w:szCs w:val="32"/>
        </w:rPr>
      </w:pPr>
    </w:p>
    <w:p w14:paraId="17AE4D74">
      <w:pPr>
        <w:pStyle w:val="10"/>
        <w:rPr>
          <w:rFonts w:hint="default" w:ascii="仿宋" w:hAnsi="仿宋" w:eastAsia="仿宋" w:cs="仿宋"/>
          <w:color w:val="auto"/>
          <w:sz w:val="32"/>
          <w:lang w:val="en-US" w:eastAsia="zh-CN"/>
        </w:rPr>
      </w:pPr>
    </w:p>
    <w:sectPr>
      <w:type w:val="continuous"/>
      <w:pgSz w:w="16838" w:h="11906" w:orient="landscape"/>
      <w:pgMar w:top="1588" w:right="2098" w:bottom="1418" w:left="1644" w:header="851" w:footer="992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ECB3D">
    <w:pPr>
      <w:pStyle w:val="12"/>
      <w:ind w:right="360" w:firstLine="360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99" cy="23025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062B2D72">
                          <w:pPr>
                            <w:pStyle w:val="12"/>
                            <w:rPr>
                              <w:rStyle w:val="17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7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7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7"/>
                              <w:rFonts w:ascii="宋体" w:hAnsi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3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256p9YAAAADAQAADwAAAAAAAAABACAAAAAiAAAAZHJzL2Rv&#10;d25yZXYueG1sUEsBAhQAFAAAAAgAh07iQMql5b4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062B2D72">
                    <w:pPr>
                      <w:pStyle w:val="12"/>
                      <w:rPr>
                        <w:rStyle w:val="17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17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7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7"/>
                        <w:rFonts w:ascii="宋体" w:hAnsi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C1790">
    <w:pPr>
      <w:pStyle w:val="12"/>
      <w:framePr w:wrap="around" w:vAnchor="text" w:hAnchor="margin" w:xAlign="outside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>- 2 -</w:t>
    </w:r>
    <w:r>
      <w:fldChar w:fldCharType="end"/>
    </w:r>
  </w:p>
  <w:p w14:paraId="60F8728A">
    <w:pPr>
      <w:pStyle w:val="1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86394">
    <w:pPr>
      <w:pStyle w:val="12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397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565" cy="13956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40840C74">
                          <w:pPr>
                            <w:pStyle w:val="1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1pt;width:14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/5JX9YAAAADAQAADwAAAAAAAAABACAAAAAiAAAAZHJzL2Rv&#10;d25yZXYueG1sUEsBAhQAFAAAAAgAh07iQA37LIE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40840C74">
                    <w:pPr>
                      <w:pStyle w:val="1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D7E5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MGNiZjQ5YWM2MmJkYTNjZjY1NGQ5NWM1ZTc5NWM5MWUifQ=="/>
  </w:docVars>
  <w:rsids>
    <w:rsidRoot w:val="00000000"/>
    <w:rsid w:val="01213339"/>
    <w:rsid w:val="01396196"/>
    <w:rsid w:val="09DB670F"/>
    <w:rsid w:val="0A713788"/>
    <w:rsid w:val="0AF60CDC"/>
    <w:rsid w:val="0D6F3795"/>
    <w:rsid w:val="0E956F82"/>
    <w:rsid w:val="0EA400E1"/>
    <w:rsid w:val="10D622BC"/>
    <w:rsid w:val="1DA001B1"/>
    <w:rsid w:val="1E761669"/>
    <w:rsid w:val="236A5BDA"/>
    <w:rsid w:val="25D1182D"/>
    <w:rsid w:val="28946750"/>
    <w:rsid w:val="2A953BE1"/>
    <w:rsid w:val="2F9A076E"/>
    <w:rsid w:val="35C80798"/>
    <w:rsid w:val="38C044A6"/>
    <w:rsid w:val="3AC13CE7"/>
    <w:rsid w:val="43BC2444"/>
    <w:rsid w:val="452B65D7"/>
    <w:rsid w:val="476F3567"/>
    <w:rsid w:val="47A4527B"/>
    <w:rsid w:val="4926353E"/>
    <w:rsid w:val="4A532C6B"/>
    <w:rsid w:val="4AD35F10"/>
    <w:rsid w:val="509C0557"/>
    <w:rsid w:val="51D90601"/>
    <w:rsid w:val="540A5D44"/>
    <w:rsid w:val="56920E7B"/>
    <w:rsid w:val="5A1F1A2F"/>
    <w:rsid w:val="67952AB0"/>
    <w:rsid w:val="76BD3BF6"/>
    <w:rsid w:val="776A47AA"/>
    <w:rsid w:val="7930071E"/>
    <w:rsid w:val="7A017BCE"/>
    <w:rsid w:val="7B7A2E2A"/>
    <w:rsid w:val="7D9D41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8">
    <w:name w:val="heading 4"/>
    <w:basedOn w:val="1"/>
    <w:next w:val="1"/>
    <w:qFormat/>
    <w:uiPriority w:val="0"/>
    <w:pPr>
      <w:keepNext/>
      <w:keepLines/>
      <w:widowControl w:val="0"/>
      <w:spacing w:before="280" w:after="290" w:line="377" w:lineRule="auto"/>
      <w:outlineLvl w:val="3"/>
    </w:pPr>
    <w:rPr>
      <w:rFonts w:ascii="Cambria" w:hAnsi="Cambria" w:cs="Times New Roman"/>
      <w:b/>
      <w:bCs/>
      <w:sz w:val="28"/>
      <w:szCs w:val="28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Quote1"/>
    <w:basedOn w:val="1"/>
    <w:next w:val="1"/>
    <w:qFormat/>
    <w:uiPriority w:val="0"/>
    <w:pPr>
      <w:ind w:left="864" w:right="864"/>
      <w:jc w:val="center"/>
    </w:pPr>
    <w:rPr>
      <w:i/>
      <w:iCs/>
      <w:color w:val="000000"/>
    </w:rPr>
  </w:style>
  <w:style w:type="paragraph" w:styleId="9">
    <w:name w:val="Normal Indent"/>
    <w:basedOn w:val="1"/>
    <w:next w:val="10"/>
    <w:qFormat/>
    <w:uiPriority w:val="0"/>
    <w:pPr>
      <w:ind w:firstLine="420"/>
    </w:pPr>
  </w:style>
  <w:style w:type="paragraph" w:styleId="10">
    <w:name w:val="Body Text First Indent 2"/>
    <w:basedOn w:val="11"/>
    <w:qFormat/>
    <w:uiPriority w:val="0"/>
    <w:pPr>
      <w:ind w:firstLine="200" w:firstLineChars="200"/>
      <w:jc w:val="left"/>
    </w:pPr>
    <w:rPr>
      <w:w w:val="88"/>
      <w:szCs w:val="21"/>
    </w:rPr>
  </w:style>
  <w:style w:type="paragraph" w:styleId="11">
    <w:name w:val="Body Text Indent"/>
    <w:basedOn w:val="1"/>
    <w:qFormat/>
    <w:uiPriority w:val="0"/>
    <w:pPr>
      <w:spacing w:after="120"/>
      <w:ind w:left="200" w:left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Title"/>
    <w:basedOn w:val="1"/>
    <w:next w:val="1"/>
    <w:qFormat/>
    <w:uiPriority w:val="0"/>
    <w:pPr>
      <w:spacing w:before="3"/>
      <w:ind w:left="65" w:right="164"/>
      <w:jc w:val="center"/>
    </w:pPr>
    <w:rPr>
      <w:rFonts w:ascii="宋体" w:hAnsi="宋体" w:cs="宋体"/>
      <w:sz w:val="100"/>
      <w:szCs w:val="100"/>
    </w:rPr>
  </w:style>
  <w:style w:type="paragraph" w:styleId="14">
    <w:name w:val="Body Text First Indent"/>
    <w:basedOn w:val="2"/>
    <w:next w:val="1"/>
    <w:qFormat/>
    <w:uiPriority w:val="0"/>
    <w:pPr>
      <w:spacing w:line="500" w:lineRule="exact"/>
      <w:ind w:firstLine="420"/>
    </w:pPr>
    <w:rPr>
      <w:sz w:val="28"/>
    </w:rPr>
  </w:style>
  <w:style w:type="character" w:styleId="17">
    <w:name w:val="page number"/>
    <w:basedOn w:val="16"/>
    <w:qFormat/>
    <w:uiPriority w:val="0"/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readonlyspan1"/>
    <w:basedOn w:val="16"/>
    <w:qFormat/>
    <w:uiPriority w:val="0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914C78-80AF-4C21-8093-5078439B89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6</Pages>
  <Words>0</Words>
  <Characters>1572</Characters>
  <Lines>0</Lines>
  <Paragraphs>37</Paragraphs>
  <TotalTime>0</TotalTime>
  <ScaleCrop>false</ScaleCrop>
  <LinksUpToDate>false</LinksUpToDate>
  <CharactersWithSpaces>2096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2021-05-14T05:44:00Z</dcterms:created>
  <dc:creator>赵璞</dc:creator>
  <cp:lastModifiedBy>Administrator</cp:lastModifiedBy>
  <cp:lastPrinted>2026-09-23T01:30:00Z</cp:lastPrinted>
  <dcterms:modified xsi:type="dcterms:W3CDTF">2026-09-24T02:38:54Z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21B88F925E4A478EA171748AA083480D</vt:lpwstr>
  </property>
</Properties>
</file>