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1" w:name="_GoBack"/>
      <w:bookmarkEnd w:id="1"/>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一、新乐市融媒体中心本级收支预算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一、新乐市融媒体中心本级收支预算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359001新乐市融媒体中心本级</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818.74</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818.74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818.74</w:t>
            </w:r>
          </w:p>
        </w:tc>
        <w:tc>
          <w:tcPr>
            <w:tcW w:w="4535" w:type="dxa"/>
            <w:vAlign w:val="center"/>
          </w:tcPr>
          <w:p>
            <w:pPr>
              <w:pStyle w:val="14"/>
            </w:pPr>
            <w:r>
              <w:t>本年支出合计</w:t>
            </w:r>
          </w:p>
        </w:tc>
        <w:tc>
          <w:tcPr>
            <w:tcW w:w="2126" w:type="dxa"/>
            <w:vAlign w:val="center"/>
          </w:tcPr>
          <w:p>
            <w:pPr>
              <w:pStyle w:val="15"/>
            </w:pPr>
            <w:r>
              <w:t>818.74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818.74</w:t>
            </w:r>
          </w:p>
        </w:tc>
        <w:tc>
          <w:tcPr>
            <w:tcW w:w="4535" w:type="dxa"/>
            <w:vAlign w:val="center"/>
          </w:tcPr>
          <w:p>
            <w:pPr>
              <w:pStyle w:val="14"/>
            </w:pPr>
            <w:r>
              <w:t>支出总计</w:t>
            </w:r>
          </w:p>
        </w:tc>
        <w:tc>
          <w:tcPr>
            <w:tcW w:w="2126" w:type="dxa"/>
            <w:vAlign w:val="center"/>
          </w:tcPr>
          <w:p>
            <w:pPr>
              <w:pStyle w:val="15"/>
            </w:pPr>
            <w:r>
              <w:t>818.74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359001新乐市融媒体中心本级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818.74</w:t>
            </w:r>
          </w:p>
        </w:tc>
        <w:tc>
          <w:tcPr>
            <w:tcW w:w="1134" w:type="dxa"/>
            <w:vAlign w:val="center"/>
          </w:tcPr>
          <w:p>
            <w:pPr>
              <w:pStyle w:val="15"/>
            </w:pPr>
            <w:r>
              <w:t>818.74</w:t>
            </w:r>
          </w:p>
        </w:tc>
        <w:tc>
          <w:tcPr>
            <w:tcW w:w="1134" w:type="dxa"/>
            <w:vAlign w:val="center"/>
          </w:tcPr>
          <w:p>
            <w:pPr>
              <w:pStyle w:val="15"/>
            </w:pPr>
            <w:r>
              <w:t>818.74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818.74</w:t>
            </w:r>
          </w:p>
        </w:tc>
        <w:tc>
          <w:tcPr>
            <w:tcW w:w="1134" w:type="dxa"/>
            <w:vAlign w:val="center"/>
          </w:tcPr>
          <w:p>
            <w:pPr>
              <w:pStyle w:val="11"/>
            </w:pPr>
            <w:r>
              <w:t>818.74</w:t>
            </w:r>
          </w:p>
        </w:tc>
        <w:tc>
          <w:tcPr>
            <w:tcW w:w="1134" w:type="dxa"/>
            <w:vAlign w:val="center"/>
          </w:tcPr>
          <w:p>
            <w:pPr>
              <w:pStyle w:val="11"/>
            </w:pPr>
            <w:r>
              <w:t>818.74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20708</w:t>
            </w:r>
          </w:p>
        </w:tc>
        <w:tc>
          <w:tcPr>
            <w:tcW w:w="1559" w:type="dxa"/>
            <w:vAlign w:val="center"/>
          </w:tcPr>
          <w:p>
            <w:pPr>
              <w:pStyle w:val="12"/>
            </w:pPr>
            <w:r>
              <w:t>广播电视</w:t>
            </w:r>
          </w:p>
        </w:tc>
        <w:tc>
          <w:tcPr>
            <w:tcW w:w="1134" w:type="dxa"/>
            <w:vAlign w:val="center"/>
          </w:tcPr>
          <w:p>
            <w:pPr>
              <w:pStyle w:val="11"/>
            </w:pPr>
            <w:r>
              <w:t>818.74</w:t>
            </w:r>
          </w:p>
        </w:tc>
        <w:tc>
          <w:tcPr>
            <w:tcW w:w="1134" w:type="dxa"/>
            <w:vAlign w:val="center"/>
          </w:tcPr>
          <w:p>
            <w:pPr>
              <w:pStyle w:val="11"/>
            </w:pPr>
            <w:r>
              <w:t>818.74</w:t>
            </w:r>
          </w:p>
        </w:tc>
        <w:tc>
          <w:tcPr>
            <w:tcW w:w="1134" w:type="dxa"/>
            <w:vAlign w:val="center"/>
          </w:tcPr>
          <w:p>
            <w:pPr>
              <w:pStyle w:val="11"/>
            </w:pPr>
            <w:r>
              <w:t>818.74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2070808</w:t>
            </w:r>
          </w:p>
        </w:tc>
        <w:tc>
          <w:tcPr>
            <w:tcW w:w="1559" w:type="dxa"/>
            <w:vAlign w:val="center"/>
          </w:tcPr>
          <w:p>
            <w:pPr>
              <w:pStyle w:val="12"/>
            </w:pPr>
            <w:r>
              <w:t>广播电视事务</w:t>
            </w:r>
          </w:p>
        </w:tc>
        <w:tc>
          <w:tcPr>
            <w:tcW w:w="1134" w:type="dxa"/>
            <w:vAlign w:val="center"/>
          </w:tcPr>
          <w:p>
            <w:pPr>
              <w:pStyle w:val="11"/>
            </w:pPr>
            <w:r>
              <w:t>818.74</w:t>
            </w:r>
          </w:p>
        </w:tc>
        <w:tc>
          <w:tcPr>
            <w:tcW w:w="1134" w:type="dxa"/>
            <w:vAlign w:val="center"/>
          </w:tcPr>
          <w:p>
            <w:pPr>
              <w:pStyle w:val="11"/>
            </w:pPr>
            <w:r>
              <w:t>818.74</w:t>
            </w:r>
          </w:p>
        </w:tc>
        <w:tc>
          <w:tcPr>
            <w:tcW w:w="1134" w:type="dxa"/>
            <w:vAlign w:val="center"/>
          </w:tcPr>
          <w:p>
            <w:pPr>
              <w:pStyle w:val="11"/>
            </w:pPr>
            <w:r>
              <w:t>818.74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818.74</w:t>
            </w:r>
          </w:p>
        </w:tc>
        <w:tc>
          <w:tcPr>
            <w:tcW w:w="1361" w:type="dxa"/>
            <w:vAlign w:val="center"/>
          </w:tcPr>
          <w:p>
            <w:pPr>
              <w:pStyle w:val="15"/>
            </w:pPr>
            <w:r>
              <w:t>818.74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818.74</w:t>
            </w:r>
          </w:p>
        </w:tc>
        <w:tc>
          <w:tcPr>
            <w:tcW w:w="1361" w:type="dxa"/>
            <w:vAlign w:val="center"/>
          </w:tcPr>
          <w:p>
            <w:pPr>
              <w:pStyle w:val="11"/>
            </w:pPr>
            <w:r>
              <w:t>818.74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20708</w:t>
            </w:r>
          </w:p>
        </w:tc>
        <w:tc>
          <w:tcPr>
            <w:tcW w:w="4535" w:type="dxa"/>
            <w:vAlign w:val="center"/>
          </w:tcPr>
          <w:p>
            <w:pPr>
              <w:pStyle w:val="12"/>
            </w:pPr>
            <w:r>
              <w:t>广播电视</w:t>
            </w:r>
          </w:p>
        </w:tc>
        <w:tc>
          <w:tcPr>
            <w:tcW w:w="1361" w:type="dxa"/>
            <w:vAlign w:val="center"/>
          </w:tcPr>
          <w:p>
            <w:pPr>
              <w:pStyle w:val="11"/>
            </w:pPr>
            <w:r>
              <w:t>818.74</w:t>
            </w:r>
          </w:p>
        </w:tc>
        <w:tc>
          <w:tcPr>
            <w:tcW w:w="1361" w:type="dxa"/>
            <w:vAlign w:val="center"/>
          </w:tcPr>
          <w:p>
            <w:pPr>
              <w:pStyle w:val="11"/>
            </w:pPr>
            <w:r>
              <w:t>818.74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2070808</w:t>
            </w:r>
          </w:p>
        </w:tc>
        <w:tc>
          <w:tcPr>
            <w:tcW w:w="4535" w:type="dxa"/>
            <w:vAlign w:val="center"/>
          </w:tcPr>
          <w:p>
            <w:pPr>
              <w:pStyle w:val="12"/>
            </w:pPr>
            <w:r>
              <w:t>广播电视事务</w:t>
            </w:r>
          </w:p>
        </w:tc>
        <w:tc>
          <w:tcPr>
            <w:tcW w:w="1361" w:type="dxa"/>
            <w:vAlign w:val="center"/>
          </w:tcPr>
          <w:p>
            <w:pPr>
              <w:pStyle w:val="11"/>
            </w:pPr>
            <w:r>
              <w:t>818.74</w:t>
            </w:r>
          </w:p>
        </w:tc>
        <w:tc>
          <w:tcPr>
            <w:tcW w:w="1361" w:type="dxa"/>
            <w:vAlign w:val="center"/>
          </w:tcPr>
          <w:p>
            <w:pPr>
              <w:pStyle w:val="11"/>
            </w:pPr>
            <w:r>
              <w:t>818.74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818.74</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818.74</w:t>
            </w:r>
          </w:p>
        </w:tc>
        <w:tc>
          <w:tcPr>
            <w:tcW w:w="1474" w:type="dxa"/>
            <w:vAlign w:val="center"/>
          </w:tcPr>
          <w:p>
            <w:pPr>
              <w:pStyle w:val="11"/>
            </w:pPr>
            <w:r>
              <w:t>818.74</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818.74</w:t>
            </w:r>
          </w:p>
        </w:tc>
        <w:tc>
          <w:tcPr>
            <w:tcW w:w="3402" w:type="dxa"/>
            <w:vAlign w:val="center"/>
          </w:tcPr>
          <w:p>
            <w:pPr>
              <w:pStyle w:val="14"/>
            </w:pPr>
            <w:r>
              <w:t>本年支出合计</w:t>
            </w:r>
          </w:p>
        </w:tc>
        <w:tc>
          <w:tcPr>
            <w:tcW w:w="1474" w:type="dxa"/>
            <w:vAlign w:val="center"/>
          </w:tcPr>
          <w:p>
            <w:pPr>
              <w:pStyle w:val="15"/>
            </w:pPr>
            <w:r>
              <w:t>818.74</w:t>
            </w:r>
          </w:p>
        </w:tc>
        <w:tc>
          <w:tcPr>
            <w:tcW w:w="1474" w:type="dxa"/>
            <w:vAlign w:val="center"/>
          </w:tcPr>
          <w:p>
            <w:pPr>
              <w:pStyle w:val="15"/>
            </w:pPr>
            <w:r>
              <w:t>818.74</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818.74</w:t>
            </w:r>
          </w:p>
        </w:tc>
        <w:tc>
          <w:tcPr>
            <w:tcW w:w="3402" w:type="dxa"/>
            <w:vAlign w:val="center"/>
          </w:tcPr>
          <w:p>
            <w:pPr>
              <w:pStyle w:val="14"/>
            </w:pPr>
            <w:r>
              <w:t>支出总计</w:t>
            </w:r>
          </w:p>
        </w:tc>
        <w:tc>
          <w:tcPr>
            <w:tcW w:w="1474" w:type="dxa"/>
            <w:vAlign w:val="center"/>
          </w:tcPr>
          <w:p>
            <w:pPr>
              <w:pStyle w:val="15"/>
            </w:pPr>
            <w:r>
              <w:t>818.74</w:t>
            </w:r>
          </w:p>
        </w:tc>
        <w:tc>
          <w:tcPr>
            <w:tcW w:w="1474" w:type="dxa"/>
            <w:vAlign w:val="center"/>
          </w:tcPr>
          <w:p>
            <w:pPr>
              <w:pStyle w:val="15"/>
            </w:pPr>
            <w:r>
              <w:t>818.74</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818.74</w:t>
            </w:r>
          </w:p>
        </w:tc>
        <w:tc>
          <w:tcPr>
            <w:tcW w:w="2551" w:type="dxa"/>
            <w:vAlign w:val="center"/>
          </w:tcPr>
          <w:p>
            <w:pPr>
              <w:pStyle w:val="15"/>
            </w:pPr>
            <w:r>
              <w:t>818.74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818.74</w:t>
            </w:r>
          </w:p>
        </w:tc>
        <w:tc>
          <w:tcPr>
            <w:tcW w:w="2551" w:type="dxa"/>
            <w:vAlign w:val="center"/>
          </w:tcPr>
          <w:p>
            <w:pPr>
              <w:pStyle w:val="11"/>
            </w:pPr>
            <w:r>
              <w:t>818.74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20708</w:t>
            </w:r>
          </w:p>
        </w:tc>
        <w:tc>
          <w:tcPr>
            <w:tcW w:w="4535" w:type="dxa"/>
            <w:vAlign w:val="center"/>
          </w:tcPr>
          <w:p>
            <w:pPr>
              <w:pStyle w:val="12"/>
            </w:pPr>
            <w:r>
              <w:t>广播电视</w:t>
            </w:r>
          </w:p>
        </w:tc>
        <w:tc>
          <w:tcPr>
            <w:tcW w:w="2551" w:type="dxa"/>
            <w:vAlign w:val="center"/>
          </w:tcPr>
          <w:p>
            <w:pPr>
              <w:pStyle w:val="11"/>
            </w:pPr>
            <w:r>
              <w:t>818.74</w:t>
            </w:r>
          </w:p>
        </w:tc>
        <w:tc>
          <w:tcPr>
            <w:tcW w:w="2551" w:type="dxa"/>
            <w:vAlign w:val="center"/>
          </w:tcPr>
          <w:p>
            <w:pPr>
              <w:pStyle w:val="11"/>
            </w:pPr>
            <w:r>
              <w:t>818.74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2070808</w:t>
            </w:r>
          </w:p>
        </w:tc>
        <w:tc>
          <w:tcPr>
            <w:tcW w:w="4535" w:type="dxa"/>
            <w:vAlign w:val="center"/>
          </w:tcPr>
          <w:p>
            <w:pPr>
              <w:pStyle w:val="12"/>
            </w:pPr>
            <w:r>
              <w:t>广播电视事务</w:t>
            </w:r>
          </w:p>
        </w:tc>
        <w:tc>
          <w:tcPr>
            <w:tcW w:w="2551" w:type="dxa"/>
            <w:vAlign w:val="center"/>
          </w:tcPr>
          <w:p>
            <w:pPr>
              <w:pStyle w:val="11"/>
            </w:pPr>
            <w:r>
              <w:t>818.74</w:t>
            </w:r>
          </w:p>
        </w:tc>
        <w:tc>
          <w:tcPr>
            <w:tcW w:w="2551" w:type="dxa"/>
            <w:vAlign w:val="center"/>
          </w:tcPr>
          <w:p>
            <w:pPr>
              <w:pStyle w:val="11"/>
            </w:pPr>
            <w:r>
              <w:t>818.74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818.74</w:t>
            </w:r>
          </w:p>
        </w:tc>
        <w:tc>
          <w:tcPr>
            <w:tcW w:w="2551" w:type="dxa"/>
            <w:vAlign w:val="center"/>
          </w:tcPr>
          <w:p>
            <w:pPr>
              <w:pStyle w:val="15"/>
            </w:pPr>
            <w:r>
              <w:t>792.70</w:t>
            </w:r>
          </w:p>
        </w:tc>
        <w:tc>
          <w:tcPr>
            <w:tcW w:w="2551" w:type="dxa"/>
            <w:vAlign w:val="center"/>
          </w:tcPr>
          <w:p>
            <w:pPr>
              <w:pStyle w:val="15"/>
            </w:pPr>
            <w:r>
              <w:t>26.04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727.55</w:t>
            </w:r>
          </w:p>
        </w:tc>
        <w:tc>
          <w:tcPr>
            <w:tcW w:w="2551" w:type="dxa"/>
            <w:vAlign w:val="center"/>
          </w:tcPr>
          <w:p>
            <w:pPr>
              <w:pStyle w:val="11"/>
            </w:pPr>
            <w:r>
              <w:t>727.55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255.93</w:t>
            </w:r>
          </w:p>
        </w:tc>
        <w:tc>
          <w:tcPr>
            <w:tcW w:w="2551" w:type="dxa"/>
            <w:vAlign w:val="center"/>
          </w:tcPr>
          <w:p>
            <w:pPr>
              <w:pStyle w:val="11"/>
            </w:pPr>
            <w:r>
              <w:t>255.93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44.25</w:t>
            </w:r>
          </w:p>
        </w:tc>
        <w:tc>
          <w:tcPr>
            <w:tcW w:w="2551" w:type="dxa"/>
            <w:vAlign w:val="center"/>
          </w:tcPr>
          <w:p>
            <w:pPr>
              <w:pStyle w:val="11"/>
            </w:pPr>
            <w:r>
              <w:t>44.25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221.89</w:t>
            </w:r>
          </w:p>
        </w:tc>
        <w:tc>
          <w:tcPr>
            <w:tcW w:w="2551" w:type="dxa"/>
            <w:vAlign w:val="center"/>
          </w:tcPr>
          <w:p>
            <w:pPr>
              <w:pStyle w:val="11"/>
            </w:pPr>
            <w:r>
              <w:t>221.89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70.48</w:t>
            </w:r>
          </w:p>
        </w:tc>
        <w:tc>
          <w:tcPr>
            <w:tcW w:w="2551" w:type="dxa"/>
            <w:vAlign w:val="center"/>
          </w:tcPr>
          <w:p>
            <w:pPr>
              <w:pStyle w:val="11"/>
            </w:pPr>
            <w:r>
              <w:t>70.48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40.12</w:t>
            </w:r>
          </w:p>
        </w:tc>
        <w:tc>
          <w:tcPr>
            <w:tcW w:w="2551" w:type="dxa"/>
            <w:vAlign w:val="center"/>
          </w:tcPr>
          <w:p>
            <w:pPr>
              <w:pStyle w:val="11"/>
            </w:pPr>
            <w:r>
              <w:t>40.12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31.53</w:t>
            </w:r>
          </w:p>
        </w:tc>
        <w:tc>
          <w:tcPr>
            <w:tcW w:w="2551" w:type="dxa"/>
            <w:vAlign w:val="center"/>
          </w:tcPr>
          <w:p>
            <w:pPr>
              <w:pStyle w:val="11"/>
            </w:pPr>
            <w:r>
              <w:t>31.53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4.40</w:t>
            </w:r>
          </w:p>
        </w:tc>
        <w:tc>
          <w:tcPr>
            <w:tcW w:w="2551" w:type="dxa"/>
            <w:vAlign w:val="center"/>
          </w:tcPr>
          <w:p>
            <w:pPr>
              <w:pStyle w:val="11"/>
            </w:pPr>
            <w:r>
              <w:t>4.40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58.95</w:t>
            </w:r>
          </w:p>
        </w:tc>
        <w:tc>
          <w:tcPr>
            <w:tcW w:w="2551" w:type="dxa"/>
            <w:vAlign w:val="center"/>
          </w:tcPr>
          <w:p>
            <w:pPr>
              <w:pStyle w:val="11"/>
            </w:pPr>
            <w:r>
              <w:t>58.95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25.34</w:t>
            </w:r>
          </w:p>
        </w:tc>
        <w:tc>
          <w:tcPr>
            <w:tcW w:w="2551" w:type="dxa"/>
            <w:vAlign w:val="center"/>
          </w:tcPr>
          <w:p>
            <w:pPr>
              <w:pStyle w:val="11"/>
            </w:pPr>
          </w:p>
        </w:tc>
        <w:tc>
          <w:tcPr>
            <w:tcW w:w="2551" w:type="dxa"/>
            <w:vAlign w:val="center"/>
          </w:tcPr>
          <w:p>
            <w:pPr>
              <w:pStyle w:val="11"/>
            </w:pPr>
            <w:r>
              <w:t>25.34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6.14</w:t>
            </w:r>
          </w:p>
        </w:tc>
        <w:tc>
          <w:tcPr>
            <w:tcW w:w="2551" w:type="dxa"/>
            <w:vAlign w:val="center"/>
          </w:tcPr>
          <w:p>
            <w:pPr>
              <w:pStyle w:val="11"/>
            </w:pPr>
          </w:p>
        </w:tc>
        <w:tc>
          <w:tcPr>
            <w:tcW w:w="2551" w:type="dxa"/>
            <w:vAlign w:val="center"/>
          </w:tcPr>
          <w:p>
            <w:pPr>
              <w:pStyle w:val="11"/>
            </w:pPr>
            <w:r>
              <w:t>6.14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0.50</w:t>
            </w:r>
          </w:p>
        </w:tc>
        <w:tc>
          <w:tcPr>
            <w:tcW w:w="2551" w:type="dxa"/>
            <w:vAlign w:val="center"/>
          </w:tcPr>
          <w:p>
            <w:pPr>
              <w:pStyle w:val="11"/>
            </w:pPr>
          </w:p>
        </w:tc>
        <w:tc>
          <w:tcPr>
            <w:tcW w:w="2551" w:type="dxa"/>
            <w:vAlign w:val="center"/>
          </w:tcPr>
          <w:p>
            <w:pPr>
              <w:pStyle w:val="11"/>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6.62</w:t>
            </w:r>
          </w:p>
        </w:tc>
        <w:tc>
          <w:tcPr>
            <w:tcW w:w="2551" w:type="dxa"/>
            <w:vAlign w:val="center"/>
          </w:tcPr>
          <w:p>
            <w:pPr>
              <w:pStyle w:val="11"/>
            </w:pPr>
          </w:p>
        </w:tc>
        <w:tc>
          <w:tcPr>
            <w:tcW w:w="2551" w:type="dxa"/>
            <w:vAlign w:val="center"/>
          </w:tcPr>
          <w:p>
            <w:pPr>
              <w:pStyle w:val="11"/>
            </w:pPr>
            <w:r>
              <w:t>6.62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0.22</w:t>
            </w:r>
          </w:p>
        </w:tc>
        <w:tc>
          <w:tcPr>
            <w:tcW w:w="2551" w:type="dxa"/>
            <w:vAlign w:val="center"/>
          </w:tcPr>
          <w:p>
            <w:pPr>
              <w:pStyle w:val="11"/>
            </w:pPr>
          </w:p>
        </w:tc>
        <w:tc>
          <w:tcPr>
            <w:tcW w:w="2551" w:type="dxa"/>
            <w:vAlign w:val="center"/>
          </w:tcPr>
          <w:p>
            <w:pPr>
              <w:pStyle w:val="11"/>
            </w:pPr>
            <w:r>
              <w:t>0.22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5.30</w:t>
            </w:r>
          </w:p>
        </w:tc>
        <w:tc>
          <w:tcPr>
            <w:tcW w:w="2551" w:type="dxa"/>
            <w:vAlign w:val="center"/>
          </w:tcPr>
          <w:p>
            <w:pPr>
              <w:pStyle w:val="11"/>
            </w:pPr>
          </w:p>
        </w:tc>
        <w:tc>
          <w:tcPr>
            <w:tcW w:w="2551" w:type="dxa"/>
            <w:vAlign w:val="center"/>
          </w:tcPr>
          <w:p>
            <w:pPr>
              <w:pStyle w:val="11"/>
            </w:pPr>
            <w:r>
              <w:t>5.30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6.40</w:t>
            </w:r>
          </w:p>
        </w:tc>
        <w:tc>
          <w:tcPr>
            <w:tcW w:w="2551" w:type="dxa"/>
            <w:vAlign w:val="center"/>
          </w:tcPr>
          <w:p>
            <w:pPr>
              <w:pStyle w:val="11"/>
            </w:pPr>
          </w:p>
        </w:tc>
        <w:tc>
          <w:tcPr>
            <w:tcW w:w="2551" w:type="dxa"/>
            <w:vAlign w:val="center"/>
          </w:tcPr>
          <w:p>
            <w:pPr>
              <w:pStyle w:val="11"/>
            </w:pPr>
            <w:r>
              <w:t>6.40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0.16</w:t>
            </w:r>
          </w:p>
        </w:tc>
        <w:tc>
          <w:tcPr>
            <w:tcW w:w="2551" w:type="dxa"/>
            <w:vAlign w:val="center"/>
          </w:tcPr>
          <w:p>
            <w:pPr>
              <w:pStyle w:val="11"/>
            </w:pPr>
          </w:p>
        </w:tc>
        <w:tc>
          <w:tcPr>
            <w:tcW w:w="2551" w:type="dxa"/>
            <w:vAlign w:val="center"/>
          </w:tcPr>
          <w:p>
            <w:pPr>
              <w:pStyle w:val="11"/>
            </w:pPr>
            <w:r>
              <w:t>0.16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65.15</w:t>
            </w:r>
          </w:p>
        </w:tc>
        <w:tc>
          <w:tcPr>
            <w:tcW w:w="2551" w:type="dxa"/>
            <w:vAlign w:val="center"/>
          </w:tcPr>
          <w:p>
            <w:pPr>
              <w:pStyle w:val="11"/>
            </w:pPr>
            <w:r>
              <w:t>65.15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64.09</w:t>
            </w:r>
          </w:p>
        </w:tc>
        <w:tc>
          <w:tcPr>
            <w:tcW w:w="2551" w:type="dxa"/>
            <w:vAlign w:val="center"/>
          </w:tcPr>
          <w:p>
            <w:pPr>
              <w:pStyle w:val="11"/>
            </w:pPr>
            <w:r>
              <w:t>64.09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1.06</w:t>
            </w:r>
          </w:p>
        </w:tc>
        <w:tc>
          <w:tcPr>
            <w:tcW w:w="2551" w:type="dxa"/>
            <w:vAlign w:val="center"/>
          </w:tcPr>
          <w:p>
            <w:pPr>
              <w:pStyle w:val="11"/>
            </w:pPr>
            <w:r>
              <w:t>1.06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0.70</w:t>
            </w:r>
          </w:p>
        </w:tc>
        <w:tc>
          <w:tcPr>
            <w:tcW w:w="2551" w:type="dxa"/>
            <w:vAlign w:val="center"/>
          </w:tcPr>
          <w:p>
            <w:pPr>
              <w:pStyle w:val="11"/>
            </w:pPr>
          </w:p>
        </w:tc>
        <w:tc>
          <w:tcPr>
            <w:tcW w:w="2551" w:type="dxa"/>
            <w:vAlign w:val="center"/>
          </w:tcPr>
          <w:p>
            <w:pPr>
              <w:pStyle w:val="11"/>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0.70</w:t>
            </w:r>
          </w:p>
        </w:tc>
        <w:tc>
          <w:tcPr>
            <w:tcW w:w="2551" w:type="dxa"/>
            <w:vAlign w:val="center"/>
          </w:tcPr>
          <w:p>
            <w:pPr>
              <w:pStyle w:val="11"/>
            </w:pPr>
          </w:p>
        </w:tc>
        <w:tc>
          <w:tcPr>
            <w:tcW w:w="2551" w:type="dxa"/>
            <w:vAlign w:val="center"/>
          </w:tcPr>
          <w:p>
            <w:pPr>
              <w:pStyle w:val="11"/>
            </w:pPr>
            <w:r>
              <w:t>0.70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359001新乐市融媒体中心本级</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新乐市融媒体中心本级2025年单位预算信息公开情况说明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按照《中华人民共和国预算法》、《地方预决算公开操作规程》和《关于进一步推进预算公开工作的实施意见》规定，现将新乐市融媒体中心本级2025年单位预算公开如下：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负责宣传贯彻执行党和国家的路线、方针、政策、把握正确的舆论导向，充分发挥党和政府的喉舌作用，围绕市委、市政府的中心工作开展新闻宣传；严格执行广播电视行业法规；负责完成传输中央、省、市广播电视节目；负责广播电视节目的采、编、播及广播、电视节目交流；负责自办节目的策划、采制、审查、包装以及播出编排和管理工作；负责广播电视对外宣传工作；负责广告和相关创收项目的策划、制作、经营及优质安全播出；负责完成市委、市政府和上级主管部门交办的其他工作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新乐市融媒体中心本级</w:t>
            </w:r>
          </w:p>
        </w:tc>
        <w:tc>
          <w:tcPr>
            <w:tcW w:w="1843" w:type="dxa"/>
            <w:vAlign w:val="center"/>
          </w:tcPr>
          <w:p>
            <w:pPr>
              <w:pStyle w:val="13"/>
            </w:pPr>
            <w:r>
              <w:t>事业</w:t>
            </w:r>
          </w:p>
        </w:tc>
        <w:tc>
          <w:tcPr>
            <w:tcW w:w="2126" w:type="dxa"/>
            <w:vAlign w:val="center"/>
          </w:tcPr>
          <w:p>
            <w:pPr>
              <w:pStyle w:val="13"/>
            </w:pPr>
            <w:r>
              <w:t>正科级</w:t>
            </w:r>
          </w:p>
        </w:tc>
        <w:tc>
          <w:tcPr>
            <w:tcW w:w="3827" w:type="dxa"/>
            <w:vAlign w:val="center"/>
          </w:tcPr>
          <w:p>
            <w:pPr>
              <w:pStyle w:val="13"/>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836.84万元，其中：一般公共预算收入836.84万元，基金预算收入0.00万元，国有资本经营预算收入0.00万元，财政专户核拨收入0.00万元，单位资金收入0.00万元，上年结转结余0.00万元。</w:t>
      </w:r>
    </w:p>
    <w:p>
      <w:pPr>
        <w:pStyle w:val="18"/>
      </w:pPr>
      <w:r>
        <w:t>2、支出说明</w:t>
      </w:r>
    </w:p>
    <w:p>
      <w:pPr>
        <w:pStyle w:val="18"/>
      </w:pPr>
      <w:r>
        <w:t>收支预算总表支出栏、基本支出表、项目支出表按经济分类和支出功能分类科目编制，反映新乐市融媒体中心本级年度单位预算中支出预算的总体情况。2024年支出预算836.84万元，其中基本支出805.64万元，包括人员经费786.72万元和日常公用经费18.92万元；项目支出31.20万元，主要为中央广播电视节目无线数字化覆盖设备采购项目</w:t>
      </w:r>
    </w:p>
    <w:p>
      <w:pPr>
        <w:pStyle w:val="18"/>
      </w:pPr>
      <w:r>
        <w:t>3、比上年增减情况</w:t>
      </w:r>
    </w:p>
    <w:p>
      <w:pPr>
        <w:pStyle w:val="18"/>
      </w:pPr>
      <w:r>
        <w:t>2024年预算收支安排836.84万元，较2023年预算减少18.28万元，其中：基本支出增加10.52万元，主要为增加人员工资及各项保险项目支出减少28.80万元，主要为本年度减少项目</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359001新乐市融媒体中心本级</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0.70</w:t>
            </w: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r>
              <w:t>新乐市融媒体中心本级小计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0.70</w:t>
            </w: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公用经费一</w:t>
            </w:r>
          </w:p>
        </w:tc>
        <w:tc>
          <w:tcPr>
            <w:tcW w:w="964" w:type="dxa"/>
            <w:vAlign w:val="center"/>
          </w:tcPr>
          <w:p>
            <w:pPr>
              <w:pStyle w:val="11"/>
            </w:pPr>
            <w:r>
              <w:t>26.04</w:t>
            </w:r>
          </w:p>
        </w:tc>
        <w:tc>
          <w:tcPr>
            <w:tcW w:w="1134" w:type="dxa"/>
            <w:vAlign w:val="center"/>
          </w:tcPr>
          <w:p>
            <w:pPr>
              <w:pStyle w:val="12"/>
            </w:pPr>
            <w:r>
              <w:t>其他计算机</w:t>
            </w:r>
          </w:p>
        </w:tc>
        <w:tc>
          <w:tcPr>
            <w:tcW w:w="1134" w:type="dxa"/>
            <w:vAlign w:val="center"/>
          </w:tcPr>
          <w:p>
            <w:pPr>
              <w:pStyle w:val="12"/>
            </w:pPr>
            <w:r>
              <w:t>A02010199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0.51</w:t>
            </w:r>
          </w:p>
        </w:tc>
        <w:tc>
          <w:tcPr>
            <w:tcW w:w="964" w:type="dxa"/>
            <w:vAlign w:val="center"/>
          </w:tcPr>
          <w:p>
            <w:pPr>
              <w:pStyle w:val="11"/>
            </w:pPr>
            <w:r>
              <w:t>0.51</w:t>
            </w:r>
          </w:p>
        </w:tc>
        <w:tc>
          <w:tcPr>
            <w:tcW w:w="964" w:type="dxa"/>
            <w:vAlign w:val="center"/>
          </w:tcPr>
          <w:p>
            <w:pPr>
              <w:pStyle w:val="11"/>
            </w:pPr>
            <w:r>
              <w:t>0.51</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公用经费一</w:t>
            </w:r>
          </w:p>
        </w:tc>
        <w:tc>
          <w:tcPr>
            <w:tcW w:w="964" w:type="dxa"/>
            <w:vAlign w:val="center"/>
          </w:tcPr>
          <w:p>
            <w:pPr>
              <w:pStyle w:val="11"/>
            </w:pPr>
            <w:r>
              <w:t>26.04</w:t>
            </w:r>
          </w:p>
        </w:tc>
        <w:tc>
          <w:tcPr>
            <w:tcW w:w="1134" w:type="dxa"/>
            <w:vAlign w:val="center"/>
          </w:tcPr>
          <w:p>
            <w:pPr>
              <w:pStyle w:val="12"/>
            </w:pPr>
            <w:r>
              <w:t>其他打印机</w:t>
            </w:r>
          </w:p>
        </w:tc>
        <w:tc>
          <w:tcPr>
            <w:tcW w:w="1134" w:type="dxa"/>
            <w:vAlign w:val="center"/>
          </w:tcPr>
          <w:p>
            <w:pPr>
              <w:pStyle w:val="12"/>
            </w:pPr>
            <w:r>
              <w:t>A02021099</w:t>
            </w:r>
          </w:p>
        </w:tc>
        <w:tc>
          <w:tcPr>
            <w:tcW w:w="709" w:type="dxa"/>
            <w:vAlign w:val="center"/>
          </w:tcPr>
          <w:p>
            <w:pPr>
              <w:pStyle w:val="13"/>
            </w:pPr>
            <w:r>
              <w:t>台</w:t>
            </w:r>
          </w:p>
        </w:tc>
        <w:tc>
          <w:tcPr>
            <w:tcW w:w="850" w:type="dxa"/>
            <w:vAlign w:val="center"/>
          </w:tcPr>
          <w:p>
            <w:pPr>
              <w:pStyle w:val="11"/>
            </w:pPr>
            <w:r>
              <w:t>1</w:t>
            </w:r>
          </w:p>
        </w:tc>
        <w:tc>
          <w:tcPr>
            <w:tcW w:w="850" w:type="dxa"/>
            <w:vAlign w:val="center"/>
          </w:tcPr>
          <w:p>
            <w:pPr>
              <w:pStyle w:val="11"/>
            </w:pPr>
            <w:r>
              <w:t>0.19</w:t>
            </w:r>
          </w:p>
        </w:tc>
        <w:tc>
          <w:tcPr>
            <w:tcW w:w="964" w:type="dxa"/>
            <w:vAlign w:val="center"/>
          </w:tcPr>
          <w:p>
            <w:pPr>
              <w:pStyle w:val="11"/>
            </w:pPr>
            <w:r>
              <w:t>0.19</w:t>
            </w:r>
          </w:p>
        </w:tc>
        <w:tc>
          <w:tcPr>
            <w:tcW w:w="964" w:type="dxa"/>
            <w:vAlign w:val="center"/>
          </w:tcPr>
          <w:p>
            <w:pPr>
              <w:pStyle w:val="11"/>
            </w:pPr>
            <w:r>
              <w:t>0.19</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0.19</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新乐市融媒体中心本级上年末固定资产金额为2113.52万元（详见下表）。本年度拟购置固定资产总额为0.00万元，已按要求列入政府采购预算，详见政府采购预算表。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359001新乐市融媒体中心本级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2113.52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1、房屋（平方米）</w:t>
            </w:r>
          </w:p>
        </w:tc>
        <w:tc>
          <w:tcPr>
            <w:tcW w:w="2835" w:type="dxa"/>
            <w:vAlign w:val="center"/>
          </w:tcPr>
          <w:p>
            <w:pPr>
              <w:pStyle w:val="13"/>
            </w:pPr>
            <w:r>
              <w:t>2769</w:t>
            </w:r>
          </w:p>
        </w:tc>
        <w:tc>
          <w:tcPr>
            <w:tcW w:w="2835" w:type="dxa"/>
            <w:vAlign w:val="center"/>
          </w:tcPr>
          <w:p>
            <w:pPr>
              <w:pStyle w:val="11"/>
            </w:pPr>
            <w:r>
              <w:t>436.82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　　其中：办公用房（平方米）</w:t>
            </w:r>
          </w:p>
        </w:tc>
        <w:tc>
          <w:tcPr>
            <w:tcW w:w="2835" w:type="dxa"/>
            <w:vAlign w:val="center"/>
          </w:tcPr>
          <w:p>
            <w:pPr>
              <w:pStyle w:val="13"/>
            </w:pPr>
            <w:r>
              <w:t>621</w:t>
            </w:r>
          </w:p>
        </w:tc>
        <w:tc>
          <w:tcPr>
            <w:tcW w:w="2835" w:type="dxa"/>
            <w:vAlign w:val="center"/>
          </w:tcPr>
          <w:p>
            <w:pPr>
              <w:pStyle w:val="11"/>
            </w:pPr>
            <w:r>
              <w:t>389.52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2、车辆（台、辆）</w:t>
            </w:r>
          </w:p>
        </w:tc>
        <w:tc>
          <w:tcPr>
            <w:tcW w:w="2835" w:type="dxa"/>
            <w:vAlign w:val="center"/>
          </w:tcPr>
          <w:p>
            <w:pPr>
              <w:pStyle w:val="13"/>
            </w:pPr>
          </w:p>
        </w:tc>
        <w:tc>
          <w:tcPr>
            <w:tcW w:w="2835"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3、单价在20万元以上的设备</w:t>
            </w:r>
          </w:p>
        </w:tc>
        <w:tc>
          <w:tcPr>
            <w:tcW w:w="2835" w:type="dxa"/>
            <w:vAlign w:val="center"/>
          </w:tcPr>
          <w:p>
            <w:pPr>
              <w:pStyle w:val="13"/>
            </w:pPr>
            <w:r>
              <w:t>6</w:t>
            </w:r>
          </w:p>
        </w:tc>
        <w:tc>
          <w:tcPr>
            <w:tcW w:w="2835" w:type="dxa"/>
            <w:vAlign w:val="center"/>
          </w:tcPr>
          <w:p>
            <w:pPr>
              <w:pStyle w:val="11"/>
            </w:pPr>
            <w:r>
              <w:t>205.89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4、其他固定资产</w:t>
            </w:r>
          </w:p>
        </w:tc>
        <w:tc>
          <w:tcPr>
            <w:tcW w:w="2835" w:type="dxa"/>
            <w:vAlign w:val="center"/>
          </w:tcPr>
          <w:p>
            <w:pPr>
              <w:pStyle w:val="13"/>
            </w:pPr>
            <w:r>
              <w:t>908</w:t>
            </w:r>
          </w:p>
        </w:tc>
        <w:tc>
          <w:tcPr>
            <w:tcW w:w="2835" w:type="dxa"/>
            <w:vAlign w:val="center"/>
          </w:tcPr>
          <w:p>
            <w:pPr>
              <w:pStyle w:val="11"/>
            </w:pPr>
            <w:r>
              <w:t>1470.81</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862CC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TotalTime>0</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2025-09-11T16:34:00Z</dcterms:created>
  <dc:creator>Administrator</dc:creator>
  <cp:lastModifiedBy>Administrator</cp:lastModifiedBy>
  <dcterms:modified xsi:type="dcterms:W3CDTF">2026-10-14T03:05:35Z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01ACC6BD82E64166ABAAAAD620B91A8D</vt:lpwstr>
  </property>
</Properties>
</file>