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2026年单位预算信息公开目录</w:t>
      </w:r>
    </w:p>
    <w:p>
      <w:pPr>
        <w:jc w:val="center"/>
      </w:pPr>
      <w:r>
        <w:rPr>
          <w:rFonts w:ascii="黑体" w:hAnsi="黑体" w:eastAsia="黑体" w:cs="黑体"/>
          <w:b/>
          <w:color w:val="000000"/>
          <w:sz w:val="30"/>
        </w:rPr>
        <w:t xml:space="preserve"> </w:t>
      </w:r>
    </w:p>
    <w:p>
      <w:pPr>
        <w:pStyle w:val="2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一、新乐市融媒体中心本级收支预算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3"/>
      </w:pPr>
      <w:bookmarkStart w:id="0" w:name="_Toc_4_4_0000000001"/>
      <w:r>
        <w:rPr>
          <w:rFonts w:ascii="方正小标宋_GBK" w:hAnsi="方正小标宋_GBK" w:eastAsia="方正小标宋_GBK" w:cs="方正小标宋_GBK"/>
          <w:color w:val="000000"/>
          <w:sz w:val="44"/>
        </w:rPr>
        <w:t>一、新乐市融媒体中心本级收支预算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359001新乐市融媒体中心本级</w:t>
            </w:r>
          </w:p>
        </w:tc>
        <w:tc>
          <w:tcPr>
            <w:tcW w:w="2126" w:type="dxa"/>
            <w:tcBorders>
              <w:top w:val="single" w:color="FFFFFF" w:sz="6" w:space="0"/>
              <w:left w:val="single" w:color="FFFFFF" w:sz="6" w:space="0"/>
              <w:right w:val="single" w:color="FFFFFF" w:sz="6" w:space="0"/>
            </w:tcBorders>
            <w:vAlign w:val="center"/>
          </w:tcPr>
          <w:p>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984.51</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984.51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984.51</w:t>
            </w:r>
          </w:p>
        </w:tc>
        <w:tc>
          <w:tcPr>
            <w:tcW w:w="4535" w:type="dxa"/>
            <w:vAlign w:val="center"/>
          </w:tcPr>
          <w:p>
            <w:pPr>
              <w:pStyle w:val="14"/>
            </w:pPr>
            <w:r>
              <w:t>本年支出合计</w:t>
            </w:r>
          </w:p>
        </w:tc>
        <w:tc>
          <w:tcPr>
            <w:tcW w:w="2126" w:type="dxa"/>
            <w:vAlign w:val="center"/>
          </w:tcPr>
          <w:p>
            <w:pPr>
              <w:pStyle w:val="15"/>
            </w:pPr>
            <w:r>
              <w:t>984.51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984.51</w:t>
            </w:r>
          </w:p>
        </w:tc>
        <w:tc>
          <w:tcPr>
            <w:tcW w:w="4535" w:type="dxa"/>
            <w:vAlign w:val="center"/>
          </w:tcPr>
          <w:p>
            <w:pPr>
              <w:pStyle w:val="14"/>
            </w:pPr>
            <w:r>
              <w:t>支出总计</w:t>
            </w:r>
          </w:p>
        </w:tc>
        <w:tc>
          <w:tcPr>
            <w:tcW w:w="2126" w:type="dxa"/>
            <w:vAlign w:val="center"/>
          </w:tcPr>
          <w:p>
            <w:pPr>
              <w:pStyle w:val="15"/>
            </w:pPr>
            <w:r>
              <w:t>984.51</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359001新乐市融媒体中心本级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984.51</w:t>
            </w:r>
          </w:p>
        </w:tc>
        <w:tc>
          <w:tcPr>
            <w:tcW w:w="1134" w:type="dxa"/>
            <w:vAlign w:val="center"/>
          </w:tcPr>
          <w:p>
            <w:pPr>
              <w:pStyle w:val="15"/>
            </w:pPr>
            <w:r>
              <w:t>984.51</w:t>
            </w:r>
          </w:p>
        </w:tc>
        <w:tc>
          <w:tcPr>
            <w:tcW w:w="1134" w:type="dxa"/>
            <w:vAlign w:val="center"/>
          </w:tcPr>
          <w:p>
            <w:pPr>
              <w:pStyle w:val="15"/>
            </w:pPr>
            <w:r>
              <w:t>984.51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984.51</w:t>
            </w:r>
          </w:p>
        </w:tc>
        <w:tc>
          <w:tcPr>
            <w:tcW w:w="1134" w:type="dxa"/>
            <w:vAlign w:val="center"/>
          </w:tcPr>
          <w:p>
            <w:pPr>
              <w:pStyle w:val="11"/>
            </w:pPr>
            <w:r>
              <w:t>984.51</w:t>
            </w:r>
          </w:p>
        </w:tc>
        <w:tc>
          <w:tcPr>
            <w:tcW w:w="1134" w:type="dxa"/>
            <w:vAlign w:val="center"/>
          </w:tcPr>
          <w:p>
            <w:pPr>
              <w:pStyle w:val="11"/>
            </w:pPr>
            <w:r>
              <w:t>984.51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20708</w:t>
            </w:r>
          </w:p>
        </w:tc>
        <w:tc>
          <w:tcPr>
            <w:tcW w:w="1559" w:type="dxa"/>
            <w:vAlign w:val="center"/>
          </w:tcPr>
          <w:p>
            <w:pPr>
              <w:pStyle w:val="12"/>
            </w:pPr>
            <w:r>
              <w:t>广播电视</w:t>
            </w:r>
          </w:p>
        </w:tc>
        <w:tc>
          <w:tcPr>
            <w:tcW w:w="1134" w:type="dxa"/>
            <w:vAlign w:val="center"/>
          </w:tcPr>
          <w:p>
            <w:pPr>
              <w:pStyle w:val="11"/>
            </w:pPr>
            <w:r>
              <w:t>953.31</w:t>
            </w:r>
          </w:p>
        </w:tc>
        <w:tc>
          <w:tcPr>
            <w:tcW w:w="1134" w:type="dxa"/>
            <w:vAlign w:val="center"/>
          </w:tcPr>
          <w:p>
            <w:pPr>
              <w:pStyle w:val="11"/>
            </w:pPr>
            <w:r>
              <w:t>953.31</w:t>
            </w:r>
          </w:p>
        </w:tc>
        <w:tc>
          <w:tcPr>
            <w:tcW w:w="1134" w:type="dxa"/>
            <w:vAlign w:val="center"/>
          </w:tcPr>
          <w:p>
            <w:pPr>
              <w:pStyle w:val="11"/>
            </w:pPr>
            <w:r>
              <w:t>953.31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2070808</w:t>
            </w:r>
          </w:p>
        </w:tc>
        <w:tc>
          <w:tcPr>
            <w:tcW w:w="1559" w:type="dxa"/>
            <w:vAlign w:val="center"/>
          </w:tcPr>
          <w:p>
            <w:pPr>
              <w:pStyle w:val="12"/>
            </w:pPr>
            <w:r>
              <w:t>广播电视事务</w:t>
            </w:r>
          </w:p>
        </w:tc>
        <w:tc>
          <w:tcPr>
            <w:tcW w:w="1134" w:type="dxa"/>
            <w:vAlign w:val="center"/>
          </w:tcPr>
          <w:p>
            <w:pPr>
              <w:pStyle w:val="11"/>
            </w:pPr>
            <w:r>
              <w:t>953.31</w:t>
            </w:r>
          </w:p>
        </w:tc>
        <w:tc>
          <w:tcPr>
            <w:tcW w:w="1134" w:type="dxa"/>
            <w:vAlign w:val="center"/>
          </w:tcPr>
          <w:p>
            <w:pPr>
              <w:pStyle w:val="11"/>
            </w:pPr>
            <w:r>
              <w:t>953.31</w:t>
            </w:r>
          </w:p>
        </w:tc>
        <w:tc>
          <w:tcPr>
            <w:tcW w:w="1134" w:type="dxa"/>
            <w:vAlign w:val="center"/>
          </w:tcPr>
          <w:p>
            <w:pPr>
              <w:pStyle w:val="11"/>
            </w:pPr>
            <w:r>
              <w:t>953.31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20799</w:t>
            </w:r>
          </w:p>
        </w:tc>
        <w:tc>
          <w:tcPr>
            <w:tcW w:w="1559" w:type="dxa"/>
            <w:vAlign w:val="center"/>
          </w:tcPr>
          <w:p>
            <w:pPr>
              <w:pStyle w:val="12"/>
            </w:pPr>
            <w:r>
              <w:t>其他文化旅游体育与传媒支出</w:t>
            </w:r>
          </w:p>
        </w:tc>
        <w:tc>
          <w:tcPr>
            <w:tcW w:w="1134" w:type="dxa"/>
            <w:vAlign w:val="center"/>
          </w:tcPr>
          <w:p>
            <w:pPr>
              <w:pStyle w:val="11"/>
            </w:pPr>
            <w:r>
              <w:t>31.20</w:t>
            </w:r>
          </w:p>
        </w:tc>
        <w:tc>
          <w:tcPr>
            <w:tcW w:w="1134" w:type="dxa"/>
            <w:vAlign w:val="center"/>
          </w:tcPr>
          <w:p>
            <w:pPr>
              <w:pStyle w:val="11"/>
            </w:pPr>
            <w:r>
              <w:t>31.20</w:t>
            </w:r>
          </w:p>
        </w:tc>
        <w:tc>
          <w:tcPr>
            <w:tcW w:w="1134" w:type="dxa"/>
            <w:vAlign w:val="center"/>
          </w:tcPr>
          <w:p>
            <w:pPr>
              <w:pStyle w:val="11"/>
            </w:pPr>
            <w:r>
              <w:t>31.20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2079999</w:t>
            </w:r>
          </w:p>
        </w:tc>
        <w:tc>
          <w:tcPr>
            <w:tcW w:w="1559" w:type="dxa"/>
            <w:vAlign w:val="center"/>
          </w:tcPr>
          <w:p>
            <w:pPr>
              <w:pStyle w:val="12"/>
            </w:pPr>
            <w:r>
              <w:t>其他文化旅游体育与传媒支出</w:t>
            </w:r>
          </w:p>
        </w:tc>
        <w:tc>
          <w:tcPr>
            <w:tcW w:w="1134" w:type="dxa"/>
            <w:vAlign w:val="center"/>
          </w:tcPr>
          <w:p>
            <w:pPr>
              <w:pStyle w:val="11"/>
            </w:pPr>
            <w:r>
              <w:t>31.20</w:t>
            </w:r>
          </w:p>
        </w:tc>
        <w:tc>
          <w:tcPr>
            <w:tcW w:w="1134" w:type="dxa"/>
            <w:vAlign w:val="center"/>
          </w:tcPr>
          <w:p>
            <w:pPr>
              <w:pStyle w:val="11"/>
            </w:pPr>
            <w:r>
              <w:t>31.20</w:t>
            </w:r>
          </w:p>
        </w:tc>
        <w:tc>
          <w:tcPr>
            <w:tcW w:w="1134" w:type="dxa"/>
            <w:vAlign w:val="center"/>
          </w:tcPr>
          <w:p>
            <w:pPr>
              <w:pStyle w:val="11"/>
            </w:pPr>
            <w:r>
              <w:t>31.20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984.51</w:t>
            </w:r>
          </w:p>
        </w:tc>
        <w:tc>
          <w:tcPr>
            <w:tcW w:w="1361" w:type="dxa"/>
            <w:vAlign w:val="center"/>
          </w:tcPr>
          <w:p>
            <w:pPr>
              <w:pStyle w:val="15"/>
            </w:pPr>
            <w:r>
              <w:t>928.31</w:t>
            </w:r>
          </w:p>
        </w:tc>
        <w:tc>
          <w:tcPr>
            <w:tcW w:w="1361" w:type="dxa"/>
            <w:vAlign w:val="center"/>
          </w:tcPr>
          <w:p>
            <w:pPr>
              <w:pStyle w:val="15"/>
            </w:pPr>
            <w:r>
              <w:t>56.20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984.51</w:t>
            </w:r>
          </w:p>
        </w:tc>
        <w:tc>
          <w:tcPr>
            <w:tcW w:w="1361" w:type="dxa"/>
            <w:vAlign w:val="center"/>
          </w:tcPr>
          <w:p>
            <w:pPr>
              <w:pStyle w:val="11"/>
            </w:pPr>
            <w:r>
              <w:t>928.31</w:t>
            </w:r>
          </w:p>
        </w:tc>
        <w:tc>
          <w:tcPr>
            <w:tcW w:w="1361" w:type="dxa"/>
            <w:vAlign w:val="center"/>
          </w:tcPr>
          <w:p>
            <w:pPr>
              <w:pStyle w:val="11"/>
            </w:pPr>
            <w:r>
              <w:t>56.20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20708</w:t>
            </w:r>
          </w:p>
        </w:tc>
        <w:tc>
          <w:tcPr>
            <w:tcW w:w="4535" w:type="dxa"/>
            <w:vAlign w:val="center"/>
          </w:tcPr>
          <w:p>
            <w:pPr>
              <w:pStyle w:val="12"/>
            </w:pPr>
            <w:r>
              <w:t>广播电视</w:t>
            </w:r>
          </w:p>
        </w:tc>
        <w:tc>
          <w:tcPr>
            <w:tcW w:w="1361" w:type="dxa"/>
            <w:vAlign w:val="center"/>
          </w:tcPr>
          <w:p>
            <w:pPr>
              <w:pStyle w:val="11"/>
            </w:pPr>
            <w:r>
              <w:t>953.31</w:t>
            </w:r>
          </w:p>
        </w:tc>
        <w:tc>
          <w:tcPr>
            <w:tcW w:w="1361" w:type="dxa"/>
            <w:vAlign w:val="center"/>
          </w:tcPr>
          <w:p>
            <w:pPr>
              <w:pStyle w:val="11"/>
            </w:pPr>
            <w:r>
              <w:t>928.31</w:t>
            </w: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2070808</w:t>
            </w:r>
          </w:p>
        </w:tc>
        <w:tc>
          <w:tcPr>
            <w:tcW w:w="4535" w:type="dxa"/>
            <w:vAlign w:val="center"/>
          </w:tcPr>
          <w:p>
            <w:pPr>
              <w:pStyle w:val="12"/>
            </w:pPr>
            <w:r>
              <w:t>广播电视事务</w:t>
            </w:r>
          </w:p>
        </w:tc>
        <w:tc>
          <w:tcPr>
            <w:tcW w:w="1361" w:type="dxa"/>
            <w:vAlign w:val="center"/>
          </w:tcPr>
          <w:p>
            <w:pPr>
              <w:pStyle w:val="11"/>
            </w:pPr>
            <w:r>
              <w:t>953.31</w:t>
            </w:r>
          </w:p>
        </w:tc>
        <w:tc>
          <w:tcPr>
            <w:tcW w:w="1361" w:type="dxa"/>
            <w:vAlign w:val="center"/>
          </w:tcPr>
          <w:p>
            <w:pPr>
              <w:pStyle w:val="11"/>
            </w:pPr>
            <w:r>
              <w:t>928.31</w:t>
            </w: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20799</w:t>
            </w:r>
          </w:p>
        </w:tc>
        <w:tc>
          <w:tcPr>
            <w:tcW w:w="4535" w:type="dxa"/>
            <w:vAlign w:val="center"/>
          </w:tcPr>
          <w:p>
            <w:pPr>
              <w:pStyle w:val="12"/>
            </w:pPr>
            <w:r>
              <w:t>其他文化旅游体育与传媒支出</w:t>
            </w:r>
          </w:p>
        </w:tc>
        <w:tc>
          <w:tcPr>
            <w:tcW w:w="1361" w:type="dxa"/>
            <w:vAlign w:val="center"/>
          </w:tcPr>
          <w:p>
            <w:pPr>
              <w:pStyle w:val="11"/>
            </w:pPr>
            <w:r>
              <w:t>31.20</w:t>
            </w:r>
          </w:p>
        </w:tc>
        <w:tc>
          <w:tcPr>
            <w:tcW w:w="1361" w:type="dxa"/>
            <w:vAlign w:val="center"/>
          </w:tcPr>
          <w:p>
            <w:pPr>
              <w:pStyle w:val="11"/>
            </w:pPr>
          </w:p>
        </w:tc>
        <w:tc>
          <w:tcPr>
            <w:tcW w:w="1361" w:type="dxa"/>
            <w:vAlign w:val="center"/>
          </w:tcPr>
          <w:p>
            <w:pPr>
              <w:pStyle w:val="11"/>
            </w:pPr>
            <w:r>
              <w:t>31.20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2079999</w:t>
            </w:r>
          </w:p>
        </w:tc>
        <w:tc>
          <w:tcPr>
            <w:tcW w:w="4535" w:type="dxa"/>
            <w:vAlign w:val="center"/>
          </w:tcPr>
          <w:p>
            <w:pPr>
              <w:pStyle w:val="12"/>
            </w:pPr>
            <w:r>
              <w:t>其他文化旅游体育与传媒支出</w:t>
            </w:r>
          </w:p>
        </w:tc>
        <w:tc>
          <w:tcPr>
            <w:tcW w:w="1361" w:type="dxa"/>
            <w:vAlign w:val="center"/>
          </w:tcPr>
          <w:p>
            <w:pPr>
              <w:pStyle w:val="11"/>
            </w:pPr>
            <w:r>
              <w:t>31.20</w:t>
            </w:r>
          </w:p>
        </w:tc>
        <w:tc>
          <w:tcPr>
            <w:tcW w:w="1361" w:type="dxa"/>
            <w:vAlign w:val="center"/>
          </w:tcPr>
          <w:p>
            <w:pPr>
              <w:pStyle w:val="11"/>
            </w:pPr>
          </w:p>
        </w:tc>
        <w:tc>
          <w:tcPr>
            <w:tcW w:w="1361" w:type="dxa"/>
            <w:vAlign w:val="center"/>
          </w:tcPr>
          <w:p>
            <w:pPr>
              <w:pStyle w:val="11"/>
            </w:pPr>
            <w:r>
              <w:t>31.20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3402" w:type="dxa"/>
            <w:tcBorders>
              <w:top w:val="single" w:color="FFFFFF" w:sz="6" w:space="0"/>
              <w:left w:val="single" w:color="FFFFFF" w:sz="6" w:space="0"/>
              <w:right w:val="single" w:color="FFFFFF" w:sz="6" w:space="0"/>
            </w:tcBorders>
            <w:vAlign w:val="center"/>
          </w:tcPr>
          <w:p>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984.51</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984.51</w:t>
            </w:r>
          </w:p>
        </w:tc>
        <w:tc>
          <w:tcPr>
            <w:tcW w:w="1474" w:type="dxa"/>
            <w:vAlign w:val="center"/>
          </w:tcPr>
          <w:p>
            <w:pPr>
              <w:pStyle w:val="11"/>
            </w:pPr>
            <w:r>
              <w:t>984.51</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4"/>
            </w:pPr>
            <w:r>
              <w:t>本年收入合计</w:t>
            </w:r>
          </w:p>
        </w:tc>
        <w:tc>
          <w:tcPr>
            <w:tcW w:w="1474" w:type="dxa"/>
            <w:vAlign w:val="center"/>
          </w:tcPr>
          <w:p>
            <w:pPr>
              <w:pStyle w:val="15"/>
            </w:pPr>
            <w:r>
              <w:t>984.51</w:t>
            </w:r>
          </w:p>
        </w:tc>
        <w:tc>
          <w:tcPr>
            <w:tcW w:w="3402" w:type="dxa"/>
            <w:vAlign w:val="center"/>
          </w:tcPr>
          <w:p>
            <w:pPr>
              <w:pStyle w:val="14"/>
            </w:pPr>
            <w:r>
              <w:t>本年支出合计</w:t>
            </w:r>
          </w:p>
        </w:tc>
        <w:tc>
          <w:tcPr>
            <w:tcW w:w="1474" w:type="dxa"/>
            <w:vAlign w:val="center"/>
          </w:tcPr>
          <w:p>
            <w:pPr>
              <w:pStyle w:val="15"/>
            </w:pPr>
            <w:r>
              <w:t>984.51</w:t>
            </w:r>
          </w:p>
        </w:tc>
        <w:tc>
          <w:tcPr>
            <w:tcW w:w="1474" w:type="dxa"/>
            <w:vAlign w:val="center"/>
          </w:tcPr>
          <w:p>
            <w:pPr>
              <w:pStyle w:val="15"/>
            </w:pPr>
            <w:r>
              <w:t>984.51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4"/>
            </w:pPr>
            <w:r>
              <w:t>收入总计</w:t>
            </w:r>
          </w:p>
        </w:tc>
        <w:tc>
          <w:tcPr>
            <w:tcW w:w="1474" w:type="dxa"/>
            <w:vAlign w:val="center"/>
          </w:tcPr>
          <w:p>
            <w:pPr>
              <w:pStyle w:val="15"/>
            </w:pPr>
            <w:r>
              <w:t>984.51</w:t>
            </w:r>
          </w:p>
        </w:tc>
        <w:tc>
          <w:tcPr>
            <w:tcW w:w="3402" w:type="dxa"/>
            <w:vAlign w:val="center"/>
          </w:tcPr>
          <w:p>
            <w:pPr>
              <w:pStyle w:val="14"/>
            </w:pPr>
            <w:r>
              <w:t>支出总计</w:t>
            </w:r>
          </w:p>
        </w:tc>
        <w:tc>
          <w:tcPr>
            <w:tcW w:w="1474" w:type="dxa"/>
            <w:vAlign w:val="center"/>
          </w:tcPr>
          <w:p>
            <w:pPr>
              <w:pStyle w:val="15"/>
            </w:pPr>
            <w:r>
              <w:t>984.51</w:t>
            </w:r>
          </w:p>
        </w:tc>
        <w:tc>
          <w:tcPr>
            <w:tcW w:w="1474" w:type="dxa"/>
            <w:vAlign w:val="center"/>
          </w:tcPr>
          <w:p>
            <w:pPr>
              <w:pStyle w:val="15"/>
            </w:pPr>
            <w:r>
              <w:t>984.51</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984.51</w:t>
            </w:r>
          </w:p>
        </w:tc>
        <w:tc>
          <w:tcPr>
            <w:tcW w:w="2551" w:type="dxa"/>
            <w:vAlign w:val="center"/>
          </w:tcPr>
          <w:p>
            <w:pPr>
              <w:pStyle w:val="15"/>
            </w:pPr>
            <w:r>
              <w:t>928.31</w:t>
            </w:r>
          </w:p>
        </w:tc>
        <w:tc>
          <w:tcPr>
            <w:tcW w:w="2551" w:type="dxa"/>
            <w:vAlign w:val="center"/>
          </w:tcPr>
          <w:p>
            <w:pPr>
              <w:pStyle w:val="15"/>
            </w:pPr>
            <w:r>
              <w:t>56.20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984.51</w:t>
            </w:r>
          </w:p>
        </w:tc>
        <w:tc>
          <w:tcPr>
            <w:tcW w:w="2551" w:type="dxa"/>
            <w:vAlign w:val="center"/>
          </w:tcPr>
          <w:p>
            <w:pPr>
              <w:pStyle w:val="11"/>
            </w:pPr>
            <w:r>
              <w:t>928.31</w:t>
            </w:r>
          </w:p>
        </w:tc>
        <w:tc>
          <w:tcPr>
            <w:tcW w:w="2551" w:type="dxa"/>
            <w:vAlign w:val="center"/>
          </w:tcPr>
          <w:p>
            <w:pPr>
              <w:pStyle w:val="11"/>
            </w:pPr>
            <w:r>
              <w:t>56.20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20708</w:t>
            </w:r>
          </w:p>
        </w:tc>
        <w:tc>
          <w:tcPr>
            <w:tcW w:w="4535" w:type="dxa"/>
            <w:vAlign w:val="center"/>
          </w:tcPr>
          <w:p>
            <w:pPr>
              <w:pStyle w:val="12"/>
            </w:pPr>
            <w:r>
              <w:t>广播电视</w:t>
            </w:r>
          </w:p>
        </w:tc>
        <w:tc>
          <w:tcPr>
            <w:tcW w:w="2551" w:type="dxa"/>
            <w:vAlign w:val="center"/>
          </w:tcPr>
          <w:p>
            <w:pPr>
              <w:pStyle w:val="11"/>
            </w:pPr>
            <w:r>
              <w:t>953.31</w:t>
            </w:r>
          </w:p>
        </w:tc>
        <w:tc>
          <w:tcPr>
            <w:tcW w:w="2551" w:type="dxa"/>
            <w:vAlign w:val="center"/>
          </w:tcPr>
          <w:p>
            <w:pPr>
              <w:pStyle w:val="11"/>
            </w:pPr>
            <w:r>
              <w:t>928.31</w:t>
            </w:r>
          </w:p>
        </w:tc>
        <w:tc>
          <w:tcPr>
            <w:tcW w:w="2551"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2070808</w:t>
            </w:r>
          </w:p>
        </w:tc>
        <w:tc>
          <w:tcPr>
            <w:tcW w:w="4535" w:type="dxa"/>
            <w:vAlign w:val="center"/>
          </w:tcPr>
          <w:p>
            <w:pPr>
              <w:pStyle w:val="12"/>
            </w:pPr>
            <w:r>
              <w:t>广播电视事务</w:t>
            </w:r>
          </w:p>
        </w:tc>
        <w:tc>
          <w:tcPr>
            <w:tcW w:w="2551" w:type="dxa"/>
            <w:vAlign w:val="center"/>
          </w:tcPr>
          <w:p>
            <w:pPr>
              <w:pStyle w:val="11"/>
            </w:pPr>
            <w:r>
              <w:t>953.31</w:t>
            </w:r>
          </w:p>
        </w:tc>
        <w:tc>
          <w:tcPr>
            <w:tcW w:w="2551" w:type="dxa"/>
            <w:vAlign w:val="center"/>
          </w:tcPr>
          <w:p>
            <w:pPr>
              <w:pStyle w:val="11"/>
            </w:pPr>
            <w:r>
              <w:t>928.31</w:t>
            </w:r>
          </w:p>
        </w:tc>
        <w:tc>
          <w:tcPr>
            <w:tcW w:w="2551"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20799</w:t>
            </w:r>
          </w:p>
        </w:tc>
        <w:tc>
          <w:tcPr>
            <w:tcW w:w="4535" w:type="dxa"/>
            <w:vAlign w:val="center"/>
          </w:tcPr>
          <w:p>
            <w:pPr>
              <w:pStyle w:val="12"/>
            </w:pPr>
            <w:r>
              <w:t>其他文化旅游体育与传媒支出</w:t>
            </w:r>
          </w:p>
        </w:tc>
        <w:tc>
          <w:tcPr>
            <w:tcW w:w="2551" w:type="dxa"/>
            <w:vAlign w:val="center"/>
          </w:tcPr>
          <w:p>
            <w:pPr>
              <w:pStyle w:val="11"/>
            </w:pPr>
            <w:r>
              <w:t>31.20</w:t>
            </w:r>
          </w:p>
        </w:tc>
        <w:tc>
          <w:tcPr>
            <w:tcW w:w="2551" w:type="dxa"/>
            <w:vAlign w:val="center"/>
          </w:tcPr>
          <w:p>
            <w:pPr>
              <w:pStyle w:val="11"/>
            </w:pPr>
          </w:p>
        </w:tc>
        <w:tc>
          <w:tcPr>
            <w:tcW w:w="2551" w:type="dxa"/>
            <w:vAlign w:val="center"/>
          </w:tcPr>
          <w:p>
            <w:pPr>
              <w:pStyle w:val="11"/>
            </w:pPr>
            <w:r>
              <w:t>31.20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2079999</w:t>
            </w:r>
          </w:p>
        </w:tc>
        <w:tc>
          <w:tcPr>
            <w:tcW w:w="4535" w:type="dxa"/>
            <w:vAlign w:val="center"/>
          </w:tcPr>
          <w:p>
            <w:pPr>
              <w:pStyle w:val="12"/>
            </w:pPr>
            <w:r>
              <w:t>其他文化旅游体育与传媒支出</w:t>
            </w:r>
          </w:p>
        </w:tc>
        <w:tc>
          <w:tcPr>
            <w:tcW w:w="2551" w:type="dxa"/>
            <w:vAlign w:val="center"/>
          </w:tcPr>
          <w:p>
            <w:pPr>
              <w:pStyle w:val="11"/>
            </w:pPr>
            <w:r>
              <w:t>31.20</w:t>
            </w:r>
          </w:p>
        </w:tc>
        <w:tc>
          <w:tcPr>
            <w:tcW w:w="2551" w:type="dxa"/>
            <w:vAlign w:val="center"/>
          </w:tcPr>
          <w:p>
            <w:pPr>
              <w:pStyle w:val="11"/>
            </w:pPr>
          </w:p>
        </w:tc>
        <w:tc>
          <w:tcPr>
            <w:tcW w:w="2551" w:type="dxa"/>
            <w:vAlign w:val="center"/>
          </w:tcPr>
          <w:p>
            <w:pPr>
              <w:pStyle w:val="11"/>
            </w:pPr>
            <w:r>
              <w:t>31.20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928.31</w:t>
            </w:r>
          </w:p>
        </w:tc>
        <w:tc>
          <w:tcPr>
            <w:tcW w:w="2551" w:type="dxa"/>
            <w:vAlign w:val="center"/>
          </w:tcPr>
          <w:p>
            <w:pPr>
              <w:pStyle w:val="15"/>
            </w:pPr>
            <w:r>
              <w:t>900.09</w:t>
            </w:r>
          </w:p>
        </w:tc>
        <w:tc>
          <w:tcPr>
            <w:tcW w:w="2551" w:type="dxa"/>
            <w:vAlign w:val="center"/>
          </w:tcPr>
          <w:p>
            <w:pPr>
              <w:pStyle w:val="15"/>
            </w:pPr>
            <w:r>
              <w:t>28.22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830.14</w:t>
            </w:r>
          </w:p>
        </w:tc>
        <w:tc>
          <w:tcPr>
            <w:tcW w:w="2551" w:type="dxa"/>
            <w:vAlign w:val="center"/>
          </w:tcPr>
          <w:p>
            <w:pPr>
              <w:pStyle w:val="11"/>
            </w:pPr>
            <w:r>
              <w:t>830.14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306.27</w:t>
            </w:r>
          </w:p>
        </w:tc>
        <w:tc>
          <w:tcPr>
            <w:tcW w:w="2551" w:type="dxa"/>
            <w:vAlign w:val="center"/>
          </w:tcPr>
          <w:p>
            <w:pPr>
              <w:pStyle w:val="11"/>
            </w:pPr>
            <w:r>
              <w:t>306.27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45.18</w:t>
            </w:r>
          </w:p>
        </w:tc>
        <w:tc>
          <w:tcPr>
            <w:tcW w:w="2551" w:type="dxa"/>
            <w:vAlign w:val="center"/>
          </w:tcPr>
          <w:p>
            <w:pPr>
              <w:pStyle w:val="11"/>
            </w:pPr>
            <w:r>
              <w:t>45.18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229.03</w:t>
            </w:r>
          </w:p>
        </w:tc>
        <w:tc>
          <w:tcPr>
            <w:tcW w:w="2551" w:type="dxa"/>
            <w:vAlign w:val="center"/>
          </w:tcPr>
          <w:p>
            <w:pPr>
              <w:pStyle w:val="11"/>
            </w:pPr>
            <w:r>
              <w:t>229.03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79.60</w:t>
            </w:r>
          </w:p>
        </w:tc>
        <w:tc>
          <w:tcPr>
            <w:tcW w:w="2551" w:type="dxa"/>
            <w:vAlign w:val="center"/>
          </w:tcPr>
          <w:p>
            <w:pPr>
              <w:pStyle w:val="11"/>
            </w:pPr>
            <w:r>
              <w:t>79.60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67.12</w:t>
            </w:r>
          </w:p>
        </w:tc>
        <w:tc>
          <w:tcPr>
            <w:tcW w:w="2551" w:type="dxa"/>
            <w:vAlign w:val="center"/>
          </w:tcPr>
          <w:p>
            <w:pPr>
              <w:pStyle w:val="11"/>
            </w:pPr>
            <w:r>
              <w:t>67.12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31.98</w:t>
            </w:r>
          </w:p>
        </w:tc>
        <w:tc>
          <w:tcPr>
            <w:tcW w:w="2551" w:type="dxa"/>
            <w:vAlign w:val="center"/>
          </w:tcPr>
          <w:p>
            <w:pPr>
              <w:pStyle w:val="11"/>
            </w:pPr>
            <w:r>
              <w:t>31.98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5.06</w:t>
            </w:r>
          </w:p>
        </w:tc>
        <w:tc>
          <w:tcPr>
            <w:tcW w:w="2551" w:type="dxa"/>
            <w:vAlign w:val="center"/>
          </w:tcPr>
          <w:p>
            <w:pPr>
              <w:pStyle w:val="11"/>
            </w:pPr>
            <w:r>
              <w:t>5.06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65.90</w:t>
            </w:r>
          </w:p>
        </w:tc>
        <w:tc>
          <w:tcPr>
            <w:tcW w:w="2551" w:type="dxa"/>
            <w:vAlign w:val="center"/>
          </w:tcPr>
          <w:p>
            <w:pPr>
              <w:pStyle w:val="11"/>
            </w:pPr>
            <w:r>
              <w:t>65.90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27.92</w:t>
            </w:r>
          </w:p>
        </w:tc>
        <w:tc>
          <w:tcPr>
            <w:tcW w:w="2551" w:type="dxa"/>
            <w:vAlign w:val="center"/>
          </w:tcPr>
          <w:p>
            <w:pPr>
              <w:pStyle w:val="11"/>
            </w:pPr>
          </w:p>
        </w:tc>
        <w:tc>
          <w:tcPr>
            <w:tcW w:w="2551" w:type="dxa"/>
            <w:vAlign w:val="center"/>
          </w:tcPr>
          <w:p>
            <w:pPr>
              <w:pStyle w:val="11"/>
            </w:pPr>
            <w:r>
              <w:t>27.92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7.16</w:t>
            </w:r>
          </w:p>
        </w:tc>
        <w:tc>
          <w:tcPr>
            <w:tcW w:w="2551" w:type="dxa"/>
            <w:vAlign w:val="center"/>
          </w:tcPr>
          <w:p>
            <w:pPr>
              <w:pStyle w:val="11"/>
            </w:pPr>
          </w:p>
        </w:tc>
        <w:tc>
          <w:tcPr>
            <w:tcW w:w="2551" w:type="dxa"/>
            <w:vAlign w:val="center"/>
          </w:tcPr>
          <w:p>
            <w:pPr>
              <w:pStyle w:val="11"/>
            </w:pPr>
            <w:r>
              <w:t>7.16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6.62</w:t>
            </w:r>
          </w:p>
        </w:tc>
        <w:tc>
          <w:tcPr>
            <w:tcW w:w="2551" w:type="dxa"/>
            <w:vAlign w:val="center"/>
          </w:tcPr>
          <w:p>
            <w:pPr>
              <w:pStyle w:val="11"/>
            </w:pPr>
          </w:p>
        </w:tc>
        <w:tc>
          <w:tcPr>
            <w:tcW w:w="2551" w:type="dxa"/>
            <w:vAlign w:val="center"/>
          </w:tcPr>
          <w:p>
            <w:pPr>
              <w:pStyle w:val="11"/>
            </w:pPr>
            <w:r>
              <w:t>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0.22</w:t>
            </w:r>
          </w:p>
        </w:tc>
        <w:tc>
          <w:tcPr>
            <w:tcW w:w="2551" w:type="dxa"/>
            <w:vAlign w:val="center"/>
          </w:tcPr>
          <w:p>
            <w:pPr>
              <w:pStyle w:val="11"/>
            </w:pPr>
          </w:p>
        </w:tc>
        <w:tc>
          <w:tcPr>
            <w:tcW w:w="2551" w:type="dxa"/>
            <w:vAlign w:val="center"/>
          </w:tcPr>
          <w:p>
            <w:pPr>
              <w:pStyle w:val="11"/>
            </w:pPr>
            <w:r>
              <w:t>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5.97</w:t>
            </w:r>
          </w:p>
        </w:tc>
        <w:tc>
          <w:tcPr>
            <w:tcW w:w="2551" w:type="dxa"/>
            <w:vAlign w:val="center"/>
          </w:tcPr>
          <w:p>
            <w:pPr>
              <w:pStyle w:val="11"/>
            </w:pPr>
          </w:p>
        </w:tc>
        <w:tc>
          <w:tcPr>
            <w:tcW w:w="2551" w:type="dxa"/>
            <w:vAlign w:val="center"/>
          </w:tcPr>
          <w:p>
            <w:pPr>
              <w:pStyle w:val="11"/>
            </w:pPr>
            <w:r>
              <w:t>5.97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7.95</w:t>
            </w:r>
          </w:p>
        </w:tc>
        <w:tc>
          <w:tcPr>
            <w:tcW w:w="2551" w:type="dxa"/>
            <w:vAlign w:val="center"/>
          </w:tcPr>
          <w:p>
            <w:pPr>
              <w:pStyle w:val="11"/>
            </w:pPr>
          </w:p>
        </w:tc>
        <w:tc>
          <w:tcPr>
            <w:tcW w:w="2551" w:type="dxa"/>
            <w:vAlign w:val="center"/>
          </w:tcPr>
          <w:p>
            <w:pPr>
              <w:pStyle w:val="11"/>
            </w:pPr>
            <w:r>
              <w:t>7.95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69.95</w:t>
            </w:r>
          </w:p>
        </w:tc>
        <w:tc>
          <w:tcPr>
            <w:tcW w:w="2551" w:type="dxa"/>
            <w:vAlign w:val="center"/>
          </w:tcPr>
          <w:p>
            <w:pPr>
              <w:pStyle w:val="11"/>
            </w:pPr>
            <w:r>
              <w:t>69.95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68.90</w:t>
            </w:r>
          </w:p>
        </w:tc>
        <w:tc>
          <w:tcPr>
            <w:tcW w:w="2551" w:type="dxa"/>
            <w:vAlign w:val="center"/>
          </w:tcPr>
          <w:p>
            <w:pPr>
              <w:pStyle w:val="11"/>
            </w:pPr>
            <w:r>
              <w:t>68.90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1.05</w:t>
            </w:r>
          </w:p>
        </w:tc>
        <w:tc>
          <w:tcPr>
            <w:tcW w:w="2551" w:type="dxa"/>
            <w:vAlign w:val="center"/>
          </w:tcPr>
          <w:p>
            <w:pPr>
              <w:pStyle w:val="11"/>
            </w:pPr>
            <w:r>
              <w:t>1.05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0.30</w:t>
            </w:r>
          </w:p>
        </w:tc>
        <w:tc>
          <w:tcPr>
            <w:tcW w:w="2551" w:type="dxa"/>
            <w:vAlign w:val="center"/>
          </w:tcPr>
          <w:p>
            <w:pPr>
              <w:pStyle w:val="11"/>
            </w:pPr>
          </w:p>
        </w:tc>
        <w:tc>
          <w:tcPr>
            <w:tcW w:w="2551"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0.30</w:t>
            </w:r>
          </w:p>
        </w:tc>
        <w:tc>
          <w:tcPr>
            <w:tcW w:w="2551" w:type="dxa"/>
            <w:vAlign w:val="center"/>
          </w:tcPr>
          <w:p>
            <w:pPr>
              <w:pStyle w:val="11"/>
            </w:pPr>
          </w:p>
        </w:tc>
        <w:tc>
          <w:tcPr>
            <w:tcW w:w="2551" w:type="dxa"/>
            <w:vAlign w:val="center"/>
          </w:tcPr>
          <w:p>
            <w:pPr>
              <w:pStyle w:val="11"/>
            </w:pPr>
            <w:r>
              <w:t>0.30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381" w:type="dxa"/>
            <w:tcBorders>
              <w:top w:val="single" w:color="FFFFFF" w:sz="6" w:space="0"/>
              <w:left w:val="single" w:color="FFFFFF" w:sz="6" w:space="0"/>
              <w:right w:val="single" w:color="FFFFFF" w:sz="6" w:space="0"/>
            </w:tcBorders>
            <w:vAlign w:val="center"/>
          </w:tcPr>
          <w:p>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jc w:val="center"/>
        <w:outlineLvl w:val="4"/>
      </w:pPr>
      <w:r>
        <w:rPr>
          <w:rFonts w:ascii="方正小标宋_GBK" w:hAnsi="方正小标宋_GBK" w:eastAsia="方正小标宋_GBK" w:cs="方正小标宋_GBK"/>
          <w:color w:val="000000"/>
          <w:sz w:val="44"/>
        </w:rPr>
        <w:t>新乐市融媒体中心本级2026年单位预算信息公开情况说明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按照《中华人民共和国预算法》、《地方预决算公开操作规程》和《关于进一步推进预算公开工作的实施意见》规定，现将新乐市融媒体中心本级2026年单位预算公开如下：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负责宣传贯彻执行党和国家的路线、方针、政策、把握正确的舆论导向，充分发挥党和政府的喉舌作用，围绕市委、市政府的中心工作开展新闻宣传；严格执行广播电视行业法规；负责完成传输中央、省、市广播电视节目；负责广播电视节目的采、编、播及广播、电视节目交流；负责自办节目的策划、采制、审查、包装以及播出编排和管理工作；负责广播电视对外宣传工作；负责广告和相关创收项目的策划、制作、经营及优质安全播出；负责完成市委、市政府和上级主管部门交办的其他工作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新乐市融媒体中心本级</w:t>
            </w:r>
          </w:p>
        </w:tc>
        <w:tc>
          <w:tcPr>
            <w:tcW w:w="1843" w:type="dxa"/>
            <w:vAlign w:val="center"/>
          </w:tcPr>
          <w:p>
            <w:pPr>
              <w:pStyle w:val="13"/>
            </w:pPr>
            <w:r>
              <w:t>事业</w:t>
            </w:r>
          </w:p>
        </w:tc>
        <w:tc>
          <w:tcPr>
            <w:tcW w:w="2126" w:type="dxa"/>
            <w:vAlign w:val="center"/>
          </w:tcPr>
          <w:p>
            <w:pPr>
              <w:pStyle w:val="13"/>
            </w:pPr>
            <w:r>
              <w:t>正科级</w:t>
            </w:r>
          </w:p>
        </w:tc>
        <w:tc>
          <w:tcPr>
            <w:tcW w:w="3827" w:type="dxa"/>
            <w:vAlign w:val="center"/>
          </w:tcPr>
          <w:p>
            <w:pPr>
              <w:pStyle w:val="13"/>
            </w:pPr>
            <w:r>
              <w:t>财政性资金定额或定项补助</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2026年预算收入984.51万元，其中：一般公共预算收入984.51万元，基金预算收入0.00万元，国有资本经营预算收入0.00万元，财政专户核拨收入0.00万元，单位资金收入0.00万元，上年结转结余0.00万元。</w:t>
      </w:r>
    </w:p>
    <w:p>
      <w:pPr>
        <w:pStyle w:val="18"/>
      </w:pPr>
      <w:r>
        <w:t>2、支出说明</w:t>
      </w:r>
    </w:p>
    <w:p>
      <w:pPr>
        <w:pStyle w:val="18"/>
      </w:pPr>
      <w:r>
        <w:t>收支预算总表支出栏、基本支出表、项目支出表按经济分类和支出功能分类科目编制，反映新乐市融媒体中心本级年度单位预算中支出预算的总体情况。2026年支出预算984.51万元，其中基本支出928.31万元，包括人员经费900.09万元和日常公用经费28.22万元；项目支出56.20万元，主要为融媒体中心运行维护费和中央广播电视节目无线数字化覆盖工程建设项目；预计下年使用的单位资金结余0.00万元。委托业务费共计安排0.00万元，主要用于因技术原因确需对外委托的辅助性工作和确有必要对外委托开展咨询、评审、规划等工作。</w:t>
      </w:r>
    </w:p>
    <w:p>
      <w:pPr>
        <w:pStyle w:val="18"/>
      </w:pPr>
      <w:r>
        <w:t>3、比上年增减情况</w:t>
      </w:r>
    </w:p>
    <w:p>
      <w:pPr>
        <w:pStyle w:val="18"/>
      </w:pPr>
      <w:r>
        <w:t>2026年预算收支安排984.51万元，较2025年预算增加165.77万元，其中：基本支出增加109.57万元，主要为人员工资及各项保险缴纳项目支出增加56.20万元，主要为融媒体中心运行维护费和中央广播电视节目无线数字化覆盖工程建设项目。预计下年使用的单位资金结余增加0.00万元。</w:t>
      </w:r>
    </w:p>
    <w:p>
      <w:pPr>
        <w:spacing w:before="10" w:after="10"/>
        <w:ind w:firstLine="640"/>
        <w:outlineLvl w:val="5"/>
      </w:pPr>
      <w:r>
        <w:rPr>
          <w:rFonts w:ascii="黑体" w:hAnsi="黑体" w:eastAsia="黑体" w:cs="黑体"/>
          <w:color w:val="000000"/>
          <w:sz w:val="32"/>
        </w:rPr>
        <w:t>三、机关运行经费安排情况</w:t>
      </w:r>
    </w:p>
    <w:p>
      <w:pPr>
        <w:pStyle w:val="19"/>
      </w:pPr>
      <w:r>
        <w:t>2026年，我单位机关运行经费共计安排28.22万元，主要用于日常维修、办公用房水电费、办公用房取暖费、办公用房物业管理费等日常运行支出。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中心无“三公”经费</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1、2025年新乐市融媒体中心运行经费绩效目标表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13018426P00009410003Y</w:t>
            </w:r>
          </w:p>
        </w:tc>
        <w:tc>
          <w:tcPr>
            <w:tcW w:w="2835" w:type="dxa"/>
            <w:vAlign w:val="center"/>
          </w:tcPr>
          <w:p>
            <w:pPr>
              <w:pStyle w:val="10"/>
            </w:pPr>
            <w:r>
              <w:t>项目名称</w:t>
            </w:r>
          </w:p>
        </w:tc>
        <w:tc>
          <w:tcPr>
            <w:tcW w:w="6095" w:type="dxa"/>
            <w:gridSpan w:val="3"/>
            <w:vAlign w:val="center"/>
          </w:tcPr>
          <w:p>
            <w:pPr>
              <w:pStyle w:val="12"/>
            </w:pPr>
            <w:r>
              <w:t>2025年新乐市融媒体中心运行经费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25.00</w:t>
            </w:r>
          </w:p>
        </w:tc>
        <w:tc>
          <w:tcPr>
            <w:tcW w:w="2835" w:type="dxa"/>
            <w:vAlign w:val="center"/>
          </w:tcPr>
          <w:p>
            <w:pPr>
              <w:pStyle w:val="10"/>
            </w:pPr>
            <w:r>
              <w:t>其中：财政    资金</w:t>
            </w:r>
          </w:p>
        </w:tc>
        <w:tc>
          <w:tcPr>
            <w:tcW w:w="2551" w:type="dxa"/>
            <w:vAlign w:val="center"/>
          </w:tcPr>
          <w:p>
            <w:pPr>
              <w:pStyle w:val="12"/>
            </w:pPr>
            <w:r>
              <w:t>25.00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传统媒体与新兴媒体有机结合，提升媒体传播速度，扩大覆盖范围，充分发挥主流媒体的优势，提高影响力同时提升经济效益。</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6.25</w:t>
            </w:r>
          </w:p>
        </w:tc>
        <w:tc>
          <w:tcPr>
            <w:tcW w:w="2835" w:type="dxa"/>
            <w:vAlign w:val="center"/>
          </w:tcPr>
          <w:p>
            <w:pPr>
              <w:pStyle w:val="13"/>
            </w:pPr>
            <w:r>
              <w:t>12.50</w:t>
            </w:r>
          </w:p>
        </w:tc>
        <w:tc>
          <w:tcPr>
            <w:tcW w:w="2551" w:type="dxa"/>
            <w:vAlign w:val="center"/>
          </w:tcPr>
          <w:p>
            <w:pPr>
              <w:pStyle w:val="13"/>
            </w:pPr>
            <w:r>
              <w:t>18.75</w:t>
            </w:r>
          </w:p>
        </w:tc>
        <w:tc>
          <w:tcPr>
            <w:tcW w:w="3544" w:type="dxa"/>
            <w:gridSpan w:val="2"/>
            <w:vAlign w:val="center"/>
          </w:tcPr>
          <w:p>
            <w:pPr>
              <w:pStyle w:val="13"/>
            </w:pPr>
            <w:r>
              <w:t>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1.充分发挥主流媒体的优势，提高影响力同时提升经济效益。</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综合事务管理工作完成情况</w:t>
            </w:r>
          </w:p>
        </w:tc>
        <w:tc>
          <w:tcPr>
            <w:tcW w:w="5386" w:type="dxa"/>
            <w:vAlign w:val="center"/>
          </w:tcPr>
          <w:p>
            <w:pPr>
              <w:pStyle w:val="12"/>
            </w:pPr>
            <w:r>
              <w:t>综合事务管理工作完成情况</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软件维护比例（%）</w:t>
            </w:r>
          </w:p>
        </w:tc>
        <w:tc>
          <w:tcPr>
            <w:tcW w:w="5386" w:type="dxa"/>
            <w:vAlign w:val="center"/>
          </w:tcPr>
          <w:p>
            <w:pPr>
              <w:pStyle w:val="12"/>
            </w:pPr>
            <w:r>
              <w:t>软件维护数量占总数量的比例</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系统故障响应时间</w:t>
            </w:r>
          </w:p>
        </w:tc>
        <w:tc>
          <w:tcPr>
            <w:tcW w:w="5386" w:type="dxa"/>
            <w:vAlign w:val="center"/>
          </w:tcPr>
          <w:p>
            <w:pPr>
              <w:pStyle w:val="12"/>
            </w:pPr>
            <w:r>
              <w:t>系统发生故障时保障修复的及时性</w:t>
            </w:r>
          </w:p>
        </w:tc>
        <w:tc>
          <w:tcPr>
            <w:tcW w:w="2268" w:type="dxa"/>
            <w:vAlign w:val="center"/>
          </w:tcPr>
          <w:p>
            <w:pPr>
              <w:pStyle w:val="12"/>
            </w:pPr>
            <w:r>
              <w:t>≤24小时</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正常运转所消耗的成本</w:t>
            </w:r>
          </w:p>
        </w:tc>
        <w:tc>
          <w:tcPr>
            <w:tcW w:w="5386" w:type="dxa"/>
            <w:vAlign w:val="center"/>
          </w:tcPr>
          <w:p>
            <w:pPr>
              <w:pStyle w:val="12"/>
            </w:pPr>
            <w:r>
              <w:t>正常运转所消耗的成本情况</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融媒体中心传播覆盖率</w:t>
            </w:r>
          </w:p>
        </w:tc>
        <w:tc>
          <w:tcPr>
            <w:tcW w:w="5386" w:type="dxa"/>
            <w:vAlign w:val="center"/>
          </w:tcPr>
          <w:p>
            <w:pPr>
              <w:pStyle w:val="12"/>
            </w:pPr>
            <w:r>
              <w:t>反映新媒体设备影响率</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打造新品牌</w:t>
            </w:r>
          </w:p>
        </w:tc>
        <w:tc>
          <w:tcPr>
            <w:tcW w:w="5386" w:type="dxa"/>
            <w:vAlign w:val="center"/>
          </w:tcPr>
          <w:p>
            <w:pPr>
              <w:pStyle w:val="12"/>
            </w:pPr>
            <w:r>
              <w:t>打造主流媒体的传播力和影响力</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环保指标合格率</w:t>
            </w:r>
          </w:p>
        </w:tc>
        <w:tc>
          <w:tcPr>
            <w:tcW w:w="5386" w:type="dxa"/>
            <w:vAlign w:val="center"/>
          </w:tcPr>
          <w:p>
            <w:pPr>
              <w:pStyle w:val="12"/>
            </w:pPr>
            <w:r>
              <w:t>减少环境污染</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观众满意度</w:t>
            </w:r>
          </w:p>
        </w:tc>
        <w:tc>
          <w:tcPr>
            <w:tcW w:w="5386" w:type="dxa"/>
            <w:vAlign w:val="center"/>
          </w:tcPr>
          <w:p>
            <w:pPr>
              <w:pStyle w:val="12"/>
            </w:pPr>
            <w:r>
              <w:t>观众满意度</w:t>
            </w:r>
          </w:p>
        </w:tc>
        <w:tc>
          <w:tcPr>
            <w:tcW w:w="2268" w:type="dxa"/>
            <w:vAlign w:val="center"/>
          </w:tcPr>
          <w:p>
            <w:pPr>
              <w:pStyle w:val="12"/>
            </w:pPr>
            <w:r>
              <w:t>≥98百分比</w:t>
            </w:r>
          </w:p>
        </w:tc>
        <w:tc>
          <w:tcPr>
            <w:tcW w:w="1276" w:type="dxa"/>
            <w:vAlign w:val="center"/>
          </w:tcPr>
          <w:p>
            <w:pPr>
              <w:pStyle w:val="12"/>
            </w:pPr>
            <w:r>
              <w:t>年度计划指标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2、冀财教【2025】115号-提前下达2026年中央支持地方公共文化服务体系建设补助资金-数字运行维护费绩效目标表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13018426P00004410050B</w:t>
            </w:r>
          </w:p>
        </w:tc>
        <w:tc>
          <w:tcPr>
            <w:tcW w:w="2835" w:type="dxa"/>
            <w:vAlign w:val="center"/>
          </w:tcPr>
          <w:p>
            <w:pPr>
              <w:pStyle w:val="10"/>
            </w:pPr>
            <w:r>
              <w:t>项目名称</w:t>
            </w:r>
          </w:p>
        </w:tc>
        <w:tc>
          <w:tcPr>
            <w:tcW w:w="6095" w:type="dxa"/>
            <w:gridSpan w:val="3"/>
            <w:vAlign w:val="center"/>
          </w:tcPr>
          <w:p>
            <w:pPr>
              <w:pStyle w:val="12"/>
            </w:pPr>
            <w:r>
              <w:t>冀财教【2025】115号-提前下达2026年中央支持地方公共文化服务体系建设补助资金-数字运行维护费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31.20</w:t>
            </w:r>
          </w:p>
        </w:tc>
        <w:tc>
          <w:tcPr>
            <w:tcW w:w="2835" w:type="dxa"/>
            <w:vAlign w:val="center"/>
          </w:tcPr>
          <w:p>
            <w:pPr>
              <w:pStyle w:val="10"/>
            </w:pPr>
            <w:r>
              <w:t>其中：财政    资金</w:t>
            </w:r>
          </w:p>
        </w:tc>
        <w:tc>
          <w:tcPr>
            <w:tcW w:w="2551" w:type="dxa"/>
            <w:vAlign w:val="center"/>
          </w:tcPr>
          <w:p>
            <w:pPr>
              <w:pStyle w:val="12"/>
            </w:pPr>
            <w:r>
              <w:t>31.20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实现中央无线数字化覆盖工程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7.80</w:t>
            </w:r>
          </w:p>
        </w:tc>
        <w:tc>
          <w:tcPr>
            <w:tcW w:w="2835" w:type="dxa"/>
            <w:vAlign w:val="center"/>
          </w:tcPr>
          <w:p>
            <w:pPr>
              <w:pStyle w:val="13"/>
            </w:pPr>
            <w:r>
              <w:t>15.60</w:t>
            </w:r>
          </w:p>
        </w:tc>
        <w:tc>
          <w:tcPr>
            <w:tcW w:w="2551" w:type="dxa"/>
            <w:vAlign w:val="center"/>
          </w:tcPr>
          <w:p>
            <w:pPr>
              <w:pStyle w:val="13"/>
            </w:pPr>
            <w:r>
              <w:t>23.40</w:t>
            </w:r>
          </w:p>
        </w:tc>
        <w:tc>
          <w:tcPr>
            <w:tcW w:w="3544" w:type="dxa"/>
            <w:gridSpan w:val="2"/>
            <w:vAlign w:val="center"/>
          </w:tcPr>
          <w:p>
            <w:pPr>
              <w:pStyle w:val="13"/>
            </w:pPr>
            <w:r>
              <w:t>31.20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1.保证中央广播无线数字化覆盖工程安全运行，提高我台节目播出质量，充分发挥电视媒体主流作用。</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发射机满功率、满时间</w:t>
            </w:r>
          </w:p>
        </w:tc>
        <w:tc>
          <w:tcPr>
            <w:tcW w:w="5386" w:type="dxa"/>
            <w:vAlign w:val="center"/>
          </w:tcPr>
          <w:p>
            <w:pPr>
              <w:pStyle w:val="12"/>
            </w:pPr>
            <w:r>
              <w:t>发射机满功率、满时间</w:t>
            </w:r>
          </w:p>
        </w:tc>
        <w:tc>
          <w:tcPr>
            <w:tcW w:w="2268" w:type="dxa"/>
            <w:vAlign w:val="center"/>
          </w:tcPr>
          <w:p>
            <w:pPr>
              <w:pStyle w:val="12"/>
            </w:pPr>
            <w:r>
              <w:t>≥98百分比</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节目质量合格率</w:t>
            </w:r>
          </w:p>
        </w:tc>
        <w:tc>
          <w:tcPr>
            <w:tcW w:w="5386" w:type="dxa"/>
            <w:vAlign w:val="center"/>
          </w:tcPr>
          <w:p>
            <w:pPr>
              <w:pStyle w:val="12"/>
            </w:pPr>
            <w:r>
              <w:t>电视节目画面质量合格率</w:t>
            </w:r>
          </w:p>
        </w:tc>
        <w:tc>
          <w:tcPr>
            <w:tcW w:w="2268" w:type="dxa"/>
            <w:vAlign w:val="center"/>
          </w:tcPr>
          <w:p>
            <w:pPr>
              <w:pStyle w:val="12"/>
            </w:pPr>
            <w:r>
              <w:t>≥98百分比</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转播节目的效率</w:t>
            </w:r>
          </w:p>
        </w:tc>
        <w:tc>
          <w:tcPr>
            <w:tcW w:w="5386" w:type="dxa"/>
            <w:vAlign w:val="center"/>
          </w:tcPr>
          <w:p>
            <w:pPr>
              <w:pStyle w:val="12"/>
            </w:pPr>
            <w:r>
              <w:t>转笔节目的时效性</w:t>
            </w:r>
          </w:p>
        </w:tc>
        <w:tc>
          <w:tcPr>
            <w:tcW w:w="2268" w:type="dxa"/>
            <w:vAlign w:val="center"/>
          </w:tcPr>
          <w:p>
            <w:pPr>
              <w:pStyle w:val="12"/>
            </w:pPr>
            <w:r>
              <w:t>≥98百分比</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按预算资金完成率</w:t>
            </w:r>
          </w:p>
        </w:tc>
        <w:tc>
          <w:tcPr>
            <w:tcW w:w="5386" w:type="dxa"/>
            <w:vAlign w:val="center"/>
          </w:tcPr>
          <w:p>
            <w:pPr>
              <w:pStyle w:val="12"/>
            </w:pPr>
            <w:r>
              <w:t>按预算资金完成率</w:t>
            </w:r>
          </w:p>
        </w:tc>
        <w:tc>
          <w:tcPr>
            <w:tcW w:w="2268" w:type="dxa"/>
            <w:vAlign w:val="center"/>
          </w:tcPr>
          <w:p>
            <w:pPr>
              <w:pStyle w:val="12"/>
            </w:pPr>
            <w:r>
              <w:t>31.2万元</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新媒体主流传播力</w:t>
            </w:r>
          </w:p>
        </w:tc>
        <w:tc>
          <w:tcPr>
            <w:tcW w:w="5386" w:type="dxa"/>
            <w:vAlign w:val="center"/>
          </w:tcPr>
          <w:p>
            <w:pPr>
              <w:pStyle w:val="12"/>
            </w:pPr>
            <w:r>
              <w:t>增强新媒体主流媒体的传播力和影响力</w:t>
            </w:r>
          </w:p>
        </w:tc>
        <w:tc>
          <w:tcPr>
            <w:tcW w:w="2268" w:type="dxa"/>
            <w:vAlign w:val="center"/>
          </w:tcPr>
          <w:p>
            <w:pPr>
              <w:pStyle w:val="12"/>
            </w:pPr>
            <w:r>
              <w:t>≥98百分比</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传播新媒体正能量</w:t>
            </w:r>
          </w:p>
        </w:tc>
        <w:tc>
          <w:tcPr>
            <w:tcW w:w="5386" w:type="dxa"/>
            <w:vAlign w:val="center"/>
          </w:tcPr>
          <w:p>
            <w:pPr>
              <w:pStyle w:val="12"/>
            </w:pPr>
            <w:r>
              <w:t>反映新媒体、全媒体项目在宣传中的正能量</w:t>
            </w:r>
          </w:p>
        </w:tc>
        <w:tc>
          <w:tcPr>
            <w:tcW w:w="2268" w:type="dxa"/>
            <w:vAlign w:val="center"/>
          </w:tcPr>
          <w:p>
            <w:pPr>
              <w:pStyle w:val="12"/>
            </w:pPr>
            <w:r>
              <w:t>≥98百分比</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新媒体中心收视人群对融媒体中心满意度</w:t>
            </w:r>
          </w:p>
        </w:tc>
        <w:tc>
          <w:tcPr>
            <w:tcW w:w="2268" w:type="dxa"/>
            <w:vAlign w:val="center"/>
          </w:tcPr>
          <w:p>
            <w:pPr>
              <w:pStyle w:val="12"/>
            </w:pPr>
            <w:r>
              <w:t>≥98百分比</w:t>
            </w:r>
          </w:p>
        </w:tc>
        <w:tc>
          <w:tcPr>
            <w:tcW w:w="1276" w:type="dxa"/>
            <w:vAlign w:val="center"/>
          </w:tcPr>
          <w:p>
            <w:pPr>
              <w:pStyle w:val="12"/>
            </w:pPr>
            <w:r>
              <w:t>年度计划标准</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359001新乐市融媒体中心本级</w:t>
            </w:r>
          </w:p>
        </w:tc>
        <w:tc>
          <w:tcPr>
            <w:tcW w:w="8676" w:type="dxa"/>
            <w:gridSpan w:val="9"/>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7712" w:type="dxa"/>
            <w:gridSpan w:val="8"/>
            <w:vAlign w:val="center"/>
          </w:tcPr>
          <w:p>
            <w:pPr>
              <w:pStyle w:val="10"/>
            </w:pPr>
            <w:r>
              <w:t>政府采购金额（当年部门预算安排资金）</w:t>
            </w:r>
          </w:p>
        </w:tc>
        <w:tc>
          <w:tcPr>
            <w:tcW w:w="964" w:type="dxa"/>
            <w:vMerge w:val="restart"/>
            <w:vAlign w:val="center"/>
          </w:tcPr>
          <w:p>
            <w:pPr>
              <w:pStyle w:val="10"/>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财政拨款结转</w:t>
            </w:r>
          </w:p>
        </w:tc>
        <w:tc>
          <w:tcPr>
            <w:tcW w:w="964" w:type="dxa"/>
            <w:vAlign w:val="center"/>
          </w:tcPr>
          <w:p>
            <w:pPr>
              <w:pStyle w:val="10"/>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新乐市融媒体中心本级上年末固定资产金额为0.00万元（详见下表）。本年度拟购置固定资产总额为0.00万元，已按要求列入政府采购预算，详见政府采购预算表。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9"/>
            </w:pPr>
            <w:r>
              <w:t>359新乐市融媒体中心</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rPr>
                <w:rFonts w:hint="default" w:eastAsia="方正书宋_GBK"/>
                <w:lang w:val="en-US" w:eastAsia="zh-CN"/>
              </w:rPr>
            </w:pPr>
            <w:r>
              <w:rPr>
                <w:rFonts w:hint="eastAsia"/>
                <w:lang w:val="en-US" w:eastAsia="zh-CN"/>
              </w:rPr>
              <w:t>2187.75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1、房屋（平方米）</w:t>
            </w:r>
          </w:p>
        </w:tc>
        <w:tc>
          <w:tcPr>
            <w:tcW w:w="2835" w:type="dxa"/>
            <w:vAlign w:val="center"/>
          </w:tcPr>
          <w:p>
            <w:pPr>
              <w:pStyle w:val="13"/>
            </w:pPr>
            <w:r>
              <w:t>2769</w:t>
            </w:r>
          </w:p>
        </w:tc>
        <w:tc>
          <w:tcPr>
            <w:tcW w:w="2835" w:type="dxa"/>
            <w:vAlign w:val="center"/>
          </w:tcPr>
          <w:p>
            <w:pPr>
              <w:pStyle w:val="11"/>
            </w:pPr>
            <w:r>
              <w:t>436.82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　　其中：办公用房（平方米）</w:t>
            </w:r>
          </w:p>
        </w:tc>
        <w:tc>
          <w:tcPr>
            <w:tcW w:w="2835" w:type="dxa"/>
            <w:vAlign w:val="center"/>
          </w:tcPr>
          <w:p>
            <w:pPr>
              <w:pStyle w:val="13"/>
            </w:pPr>
            <w:r>
              <w:t>621</w:t>
            </w:r>
          </w:p>
        </w:tc>
        <w:tc>
          <w:tcPr>
            <w:tcW w:w="2835" w:type="dxa"/>
            <w:vAlign w:val="center"/>
          </w:tcPr>
          <w:p>
            <w:pPr>
              <w:pStyle w:val="11"/>
            </w:pPr>
            <w:r>
              <w:t>389.52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3、单价在20万元以上的设备</w:t>
            </w:r>
          </w:p>
        </w:tc>
        <w:tc>
          <w:tcPr>
            <w:tcW w:w="2835" w:type="dxa"/>
            <w:vAlign w:val="center"/>
          </w:tcPr>
          <w:p>
            <w:pPr>
              <w:pStyle w:val="13"/>
            </w:pPr>
            <w:r>
              <w:t>6</w:t>
            </w:r>
          </w:p>
        </w:tc>
        <w:tc>
          <w:tcPr>
            <w:tcW w:w="2835" w:type="dxa"/>
            <w:vAlign w:val="center"/>
          </w:tcPr>
          <w:p>
            <w:pPr>
              <w:pStyle w:val="11"/>
            </w:pPr>
            <w:r>
              <w:t>205.89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4、其他固定资产</w:t>
            </w:r>
          </w:p>
        </w:tc>
        <w:tc>
          <w:tcPr>
            <w:tcW w:w="2835" w:type="dxa"/>
            <w:vAlign w:val="center"/>
          </w:tcPr>
          <w:p>
            <w:pPr>
              <w:pStyle w:val="13"/>
            </w:pPr>
            <w:r>
              <w:t>908</w:t>
            </w:r>
          </w:p>
        </w:tc>
        <w:tc>
          <w:tcPr>
            <w:tcW w:w="2835" w:type="dxa"/>
            <w:vAlign w:val="center"/>
          </w:tcPr>
          <w:p>
            <w:pPr>
              <w:pStyle w:val="11"/>
              <w:rPr>
                <w:rFonts w:hint="default" w:eastAsia="方正书宋_GBK"/>
                <w:lang w:val="en-US" w:eastAsia="zh-CN"/>
              </w:rPr>
            </w:pPr>
            <w:r>
              <w:rPr>
                <w:rFonts w:hint="eastAsia"/>
                <w:lang w:val="en-US" w:eastAsia="zh-CN"/>
              </w:rPr>
              <w:t>1545.04</w:t>
            </w:r>
          </w:p>
        </w:tc>
      </w:tr>
    </w:tbl>
    <w:p>
      <w:pPr>
        <w:ind w:firstLine="640"/>
      </w:pPr>
      <w:bookmarkStart w:id="1" w:name="_GoBack"/>
      <w:bookmarkEnd w:id="1"/>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 w:name="方正仿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9B0"/>
    <w:rsid w:val="005D09B0"/>
    <w:rsid w:val="00C32041"/>
    <w:rsid w:val="6F7272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semiHidden/>
    <w:unhideWhenUsed/>
    <w:qFormat/>
    <w:uiPriority w:val="99"/>
    <w:pPr>
      <w:tabs>
        <w:tab w:val="center" w:pos="4153"/>
        <w:tab w:val="right" w:pos="8306"/>
      </w:tabs>
      <w:snapToGrid w:val="0"/>
    </w:pPr>
    <w:rPr>
      <w:sz w:val="18"/>
      <w:szCs w:val="18"/>
    </w:rPr>
  </w:style>
  <w:style w:type="paragraph" w:styleId="3">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TOC 4"/>
    <w:basedOn w:val="1"/>
    <w:qFormat/>
    <w:uiPriority w:val="0"/>
    <w:pPr>
      <w:ind w:left="720"/>
    </w:pPr>
  </w:style>
  <w:style w:type="paragraph" w:customStyle="1" w:styleId="23">
    <w:name w:val="TOC 1"/>
    <w:basedOn w:val="1"/>
    <w:qFormat/>
    <w:uiPriority w:val="0"/>
    <w:pPr>
      <w:spacing w:before="120"/>
      <w:ind w:firstLine="560"/>
    </w:pPr>
    <w:rPr>
      <w:rFonts w:eastAsia="方正仿宋_GBK"/>
      <w:color w:val="000000"/>
      <w:sz w:val="28"/>
    </w:rPr>
  </w:style>
  <w:style w:type="character" w:customStyle="1" w:styleId="24">
    <w:name w:val="页眉 Char"/>
    <w:basedOn w:val="6"/>
    <w:link w:val="3"/>
    <w:semiHidden/>
    <w:qFormat/>
    <w:uiPriority w:val="99"/>
    <w:rPr>
      <w:sz w:val="18"/>
      <w:szCs w:val="18"/>
      <w:lang w:eastAsia="uk-UA"/>
    </w:rPr>
  </w:style>
  <w:style w:type="character" w:customStyle="1" w:styleId="25">
    <w:name w:val="页脚 Char"/>
    <w:basedOn w:val="6"/>
    <w:link w:val="2"/>
    <w:semiHidden/>
    <w:qFormat/>
    <w:uiPriority w:val="99"/>
    <w:rPr>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22</Pages>
  <Words>1228</Words>
  <Characters>7006</Characters>
  <Lines>58</Lines>
  <Paragraphs>16</Paragraphs>
  <TotalTime>2</TotalTime>
  <ScaleCrop>false</ScaleCrop>
  <LinksUpToDate>false</LinksUpToDate>
  <CharactersWithSpaces>8218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2026-04-17T01:49:00Z</dcterms:created>
  <dc:creator>Administrator</dc:creator>
  <cp:lastModifiedBy>Administrator</cp:lastModifiedBy>
  <dcterms:modified xsi:type="dcterms:W3CDTF">2026-10-14T03:05:50Z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1514153923A6476F84EDA1F7DF6AA427</vt:lpwstr>
  </property>
</Properties>
</file>