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23</w:t>
      </w:r>
      <w:r>
        <w:fldChar w:fldCharType="end"/>
      </w:r>
      <w:r>
        <w:fldChar w:fldCharType="end"/>
      </w:r>
    </w:p>
    <w:p>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23</w:t>
      </w:r>
      <w:r>
        <w:fldChar w:fldCharType="end"/>
      </w:r>
      <w:r>
        <w:fldChar w:fldCharType="end"/>
      </w:r>
    </w:p>
    <w:p>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359新乐市融媒体中心</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984.51</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984.51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984.51</w:t>
            </w:r>
          </w:p>
        </w:tc>
        <w:tc>
          <w:tcPr>
            <w:tcW w:w="4535" w:type="dxa"/>
            <w:vAlign w:val="center"/>
          </w:tcPr>
          <w:p>
            <w:pPr>
              <w:pStyle w:val="14"/>
            </w:pPr>
            <w:r>
              <w:t>本年支出合计</w:t>
            </w:r>
          </w:p>
        </w:tc>
        <w:tc>
          <w:tcPr>
            <w:tcW w:w="2126" w:type="dxa"/>
            <w:vAlign w:val="center"/>
          </w:tcPr>
          <w:p>
            <w:pPr>
              <w:pStyle w:val="15"/>
            </w:pPr>
            <w:r>
              <w:t>984.51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984.51</w:t>
            </w:r>
          </w:p>
        </w:tc>
        <w:tc>
          <w:tcPr>
            <w:tcW w:w="4535" w:type="dxa"/>
            <w:vAlign w:val="center"/>
          </w:tcPr>
          <w:p>
            <w:pPr>
              <w:pStyle w:val="14"/>
            </w:pPr>
            <w:r>
              <w:t>支出总计</w:t>
            </w:r>
          </w:p>
        </w:tc>
        <w:tc>
          <w:tcPr>
            <w:tcW w:w="2126" w:type="dxa"/>
            <w:vAlign w:val="center"/>
          </w:tcPr>
          <w:p>
            <w:pPr>
              <w:pStyle w:val="15"/>
            </w:pPr>
            <w:r>
              <w:t>984.51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359新乐市融媒体中心</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984.51</w:t>
            </w:r>
          </w:p>
        </w:tc>
        <w:tc>
          <w:tcPr>
            <w:tcW w:w="1134" w:type="dxa"/>
            <w:vAlign w:val="center"/>
          </w:tcPr>
          <w:p>
            <w:pPr>
              <w:pStyle w:val="15"/>
            </w:pPr>
            <w:r>
              <w:t>984.51</w:t>
            </w:r>
          </w:p>
        </w:tc>
        <w:tc>
          <w:tcPr>
            <w:tcW w:w="1134" w:type="dxa"/>
            <w:vAlign w:val="center"/>
          </w:tcPr>
          <w:p>
            <w:pPr>
              <w:pStyle w:val="15"/>
            </w:pPr>
            <w:r>
              <w:t>984.51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984.51</w:t>
            </w:r>
          </w:p>
        </w:tc>
        <w:tc>
          <w:tcPr>
            <w:tcW w:w="1134" w:type="dxa"/>
            <w:vAlign w:val="center"/>
          </w:tcPr>
          <w:p>
            <w:pPr>
              <w:pStyle w:val="11"/>
            </w:pPr>
            <w:r>
              <w:t>984.51</w:t>
            </w:r>
          </w:p>
        </w:tc>
        <w:tc>
          <w:tcPr>
            <w:tcW w:w="1134" w:type="dxa"/>
            <w:vAlign w:val="center"/>
          </w:tcPr>
          <w:p>
            <w:pPr>
              <w:pStyle w:val="11"/>
            </w:pPr>
            <w:r>
              <w:t>984.51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20708</w:t>
            </w:r>
          </w:p>
        </w:tc>
        <w:tc>
          <w:tcPr>
            <w:tcW w:w="1559" w:type="dxa"/>
            <w:vAlign w:val="center"/>
          </w:tcPr>
          <w:p>
            <w:pPr>
              <w:pStyle w:val="12"/>
            </w:pPr>
            <w:r>
              <w:t>广播电视</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2070808</w:t>
            </w:r>
          </w:p>
        </w:tc>
        <w:tc>
          <w:tcPr>
            <w:tcW w:w="1559" w:type="dxa"/>
            <w:vAlign w:val="center"/>
          </w:tcPr>
          <w:p>
            <w:pPr>
              <w:pStyle w:val="12"/>
            </w:pPr>
            <w:r>
              <w:t>广播电视事务</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r>
              <w:t>953.31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20799</w:t>
            </w:r>
          </w:p>
        </w:tc>
        <w:tc>
          <w:tcPr>
            <w:tcW w:w="1559" w:type="dxa"/>
            <w:vAlign w:val="center"/>
          </w:tcPr>
          <w:p>
            <w:pPr>
              <w:pStyle w:val="12"/>
            </w:pPr>
            <w:r>
              <w:t>其他文化旅游体育与传媒支出</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2079999</w:t>
            </w:r>
          </w:p>
        </w:tc>
        <w:tc>
          <w:tcPr>
            <w:tcW w:w="1559" w:type="dxa"/>
            <w:vAlign w:val="center"/>
          </w:tcPr>
          <w:p>
            <w:pPr>
              <w:pStyle w:val="12"/>
            </w:pPr>
            <w:r>
              <w:t>其他文化旅游体育与传媒支出</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r>
              <w:t>31.20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984.51</w:t>
            </w:r>
          </w:p>
        </w:tc>
        <w:tc>
          <w:tcPr>
            <w:tcW w:w="1361" w:type="dxa"/>
            <w:vAlign w:val="center"/>
          </w:tcPr>
          <w:p>
            <w:pPr>
              <w:pStyle w:val="15"/>
            </w:pPr>
            <w:r>
              <w:t>928.31</w:t>
            </w:r>
          </w:p>
        </w:tc>
        <w:tc>
          <w:tcPr>
            <w:tcW w:w="1361" w:type="dxa"/>
            <w:vAlign w:val="center"/>
          </w:tcPr>
          <w:p>
            <w:pPr>
              <w:pStyle w:val="15"/>
            </w:pPr>
            <w:r>
              <w:t>56.20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984.51</w:t>
            </w:r>
          </w:p>
        </w:tc>
        <w:tc>
          <w:tcPr>
            <w:tcW w:w="1361" w:type="dxa"/>
            <w:vAlign w:val="center"/>
          </w:tcPr>
          <w:p>
            <w:pPr>
              <w:pStyle w:val="11"/>
            </w:pPr>
            <w:r>
              <w:t>928.31</w:t>
            </w:r>
          </w:p>
        </w:tc>
        <w:tc>
          <w:tcPr>
            <w:tcW w:w="1361" w:type="dxa"/>
            <w:vAlign w:val="center"/>
          </w:tcPr>
          <w:p>
            <w:pPr>
              <w:pStyle w:val="11"/>
            </w:pPr>
            <w:r>
              <w:t>56.20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20708</w:t>
            </w:r>
          </w:p>
        </w:tc>
        <w:tc>
          <w:tcPr>
            <w:tcW w:w="4535" w:type="dxa"/>
            <w:vAlign w:val="center"/>
          </w:tcPr>
          <w:p>
            <w:pPr>
              <w:pStyle w:val="12"/>
            </w:pPr>
            <w:r>
              <w:t>广播电视</w:t>
            </w:r>
          </w:p>
        </w:tc>
        <w:tc>
          <w:tcPr>
            <w:tcW w:w="1361" w:type="dxa"/>
            <w:vAlign w:val="center"/>
          </w:tcPr>
          <w:p>
            <w:pPr>
              <w:pStyle w:val="11"/>
            </w:pPr>
            <w:r>
              <w:t>953.31</w:t>
            </w:r>
          </w:p>
        </w:tc>
        <w:tc>
          <w:tcPr>
            <w:tcW w:w="1361" w:type="dxa"/>
            <w:vAlign w:val="center"/>
          </w:tcPr>
          <w:p>
            <w:pPr>
              <w:pStyle w:val="11"/>
            </w:pPr>
            <w:r>
              <w:t>928.31</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2070808</w:t>
            </w:r>
          </w:p>
        </w:tc>
        <w:tc>
          <w:tcPr>
            <w:tcW w:w="4535" w:type="dxa"/>
            <w:vAlign w:val="center"/>
          </w:tcPr>
          <w:p>
            <w:pPr>
              <w:pStyle w:val="12"/>
            </w:pPr>
            <w:r>
              <w:t>广播电视事务</w:t>
            </w:r>
          </w:p>
        </w:tc>
        <w:tc>
          <w:tcPr>
            <w:tcW w:w="1361" w:type="dxa"/>
            <w:vAlign w:val="center"/>
          </w:tcPr>
          <w:p>
            <w:pPr>
              <w:pStyle w:val="11"/>
            </w:pPr>
            <w:r>
              <w:t>953.31</w:t>
            </w:r>
          </w:p>
        </w:tc>
        <w:tc>
          <w:tcPr>
            <w:tcW w:w="1361" w:type="dxa"/>
            <w:vAlign w:val="center"/>
          </w:tcPr>
          <w:p>
            <w:pPr>
              <w:pStyle w:val="11"/>
            </w:pPr>
            <w:r>
              <w:t>928.31</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20799</w:t>
            </w:r>
          </w:p>
        </w:tc>
        <w:tc>
          <w:tcPr>
            <w:tcW w:w="4535" w:type="dxa"/>
            <w:vAlign w:val="center"/>
          </w:tcPr>
          <w:p>
            <w:pPr>
              <w:pStyle w:val="12"/>
            </w:pPr>
            <w:r>
              <w:t>其他文化旅游体育与传媒支出</w:t>
            </w: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2079999</w:t>
            </w:r>
          </w:p>
        </w:tc>
        <w:tc>
          <w:tcPr>
            <w:tcW w:w="4535" w:type="dxa"/>
            <w:vAlign w:val="center"/>
          </w:tcPr>
          <w:p>
            <w:pPr>
              <w:pStyle w:val="12"/>
            </w:pPr>
            <w:r>
              <w:t>其他文化旅游体育与传媒支出</w:t>
            </w: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r>
              <w:t>31.20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984.51</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984.51</w:t>
            </w:r>
          </w:p>
        </w:tc>
        <w:tc>
          <w:tcPr>
            <w:tcW w:w="1474" w:type="dxa"/>
            <w:vAlign w:val="center"/>
          </w:tcPr>
          <w:p>
            <w:pPr>
              <w:pStyle w:val="11"/>
            </w:pPr>
            <w:r>
              <w:t>984.51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4"/>
            </w:pPr>
            <w:r>
              <w:t>本年收入合计</w:t>
            </w:r>
          </w:p>
        </w:tc>
        <w:tc>
          <w:tcPr>
            <w:tcW w:w="1474" w:type="dxa"/>
            <w:vAlign w:val="center"/>
          </w:tcPr>
          <w:p>
            <w:pPr>
              <w:pStyle w:val="15"/>
            </w:pPr>
            <w:r>
              <w:t>984.51</w:t>
            </w:r>
          </w:p>
        </w:tc>
        <w:tc>
          <w:tcPr>
            <w:tcW w:w="3402" w:type="dxa"/>
            <w:vAlign w:val="center"/>
          </w:tcPr>
          <w:p>
            <w:pPr>
              <w:pStyle w:val="14"/>
            </w:pPr>
            <w:r>
              <w:t>本年支出合计</w:t>
            </w:r>
          </w:p>
        </w:tc>
        <w:tc>
          <w:tcPr>
            <w:tcW w:w="1474" w:type="dxa"/>
            <w:vAlign w:val="center"/>
          </w:tcPr>
          <w:p>
            <w:pPr>
              <w:pStyle w:val="15"/>
            </w:pPr>
            <w:r>
              <w:t>984.51</w:t>
            </w:r>
          </w:p>
        </w:tc>
        <w:tc>
          <w:tcPr>
            <w:tcW w:w="1474" w:type="dxa"/>
            <w:vAlign w:val="center"/>
          </w:tcPr>
          <w:p>
            <w:pPr>
              <w:pStyle w:val="15"/>
            </w:pPr>
            <w:r>
              <w:t>984.51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4"/>
            </w:pPr>
            <w:r>
              <w:t>收入总计</w:t>
            </w:r>
          </w:p>
        </w:tc>
        <w:tc>
          <w:tcPr>
            <w:tcW w:w="1474" w:type="dxa"/>
            <w:vAlign w:val="center"/>
          </w:tcPr>
          <w:p>
            <w:pPr>
              <w:pStyle w:val="15"/>
            </w:pPr>
            <w:r>
              <w:t>984.51</w:t>
            </w:r>
          </w:p>
        </w:tc>
        <w:tc>
          <w:tcPr>
            <w:tcW w:w="3402" w:type="dxa"/>
            <w:vAlign w:val="center"/>
          </w:tcPr>
          <w:p>
            <w:pPr>
              <w:pStyle w:val="14"/>
            </w:pPr>
            <w:r>
              <w:t>支出总计</w:t>
            </w:r>
          </w:p>
        </w:tc>
        <w:tc>
          <w:tcPr>
            <w:tcW w:w="1474" w:type="dxa"/>
            <w:vAlign w:val="center"/>
          </w:tcPr>
          <w:p>
            <w:pPr>
              <w:pStyle w:val="15"/>
            </w:pPr>
            <w:r>
              <w:t>984.51</w:t>
            </w:r>
          </w:p>
        </w:tc>
        <w:tc>
          <w:tcPr>
            <w:tcW w:w="1474" w:type="dxa"/>
            <w:vAlign w:val="center"/>
          </w:tcPr>
          <w:p>
            <w:pPr>
              <w:pStyle w:val="15"/>
            </w:pPr>
            <w:r>
              <w:t>984.51</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984.51</w:t>
            </w:r>
          </w:p>
        </w:tc>
        <w:tc>
          <w:tcPr>
            <w:tcW w:w="2551" w:type="dxa"/>
            <w:vAlign w:val="center"/>
          </w:tcPr>
          <w:p>
            <w:pPr>
              <w:pStyle w:val="15"/>
            </w:pPr>
            <w:r>
              <w:t>928.31</w:t>
            </w:r>
          </w:p>
        </w:tc>
        <w:tc>
          <w:tcPr>
            <w:tcW w:w="2551" w:type="dxa"/>
            <w:vAlign w:val="center"/>
          </w:tcPr>
          <w:p>
            <w:pPr>
              <w:pStyle w:val="15"/>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984.51</w:t>
            </w:r>
          </w:p>
        </w:tc>
        <w:tc>
          <w:tcPr>
            <w:tcW w:w="2551" w:type="dxa"/>
            <w:vAlign w:val="center"/>
          </w:tcPr>
          <w:p>
            <w:pPr>
              <w:pStyle w:val="11"/>
            </w:pPr>
            <w:r>
              <w:t>928.31</w:t>
            </w:r>
          </w:p>
        </w:tc>
        <w:tc>
          <w:tcPr>
            <w:tcW w:w="2551" w:type="dxa"/>
            <w:vAlign w:val="center"/>
          </w:tcPr>
          <w:p>
            <w:pPr>
              <w:pStyle w:val="11"/>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20708</w:t>
            </w:r>
          </w:p>
        </w:tc>
        <w:tc>
          <w:tcPr>
            <w:tcW w:w="4535" w:type="dxa"/>
            <w:vAlign w:val="center"/>
          </w:tcPr>
          <w:p>
            <w:pPr>
              <w:pStyle w:val="12"/>
            </w:pPr>
            <w:r>
              <w:t>广播电视</w:t>
            </w:r>
          </w:p>
        </w:tc>
        <w:tc>
          <w:tcPr>
            <w:tcW w:w="2551" w:type="dxa"/>
            <w:vAlign w:val="center"/>
          </w:tcPr>
          <w:p>
            <w:pPr>
              <w:pStyle w:val="11"/>
            </w:pPr>
            <w:r>
              <w:t>953.31</w:t>
            </w:r>
          </w:p>
        </w:tc>
        <w:tc>
          <w:tcPr>
            <w:tcW w:w="2551" w:type="dxa"/>
            <w:vAlign w:val="center"/>
          </w:tcPr>
          <w:p>
            <w:pPr>
              <w:pStyle w:val="11"/>
            </w:pPr>
            <w:r>
              <w:t>928.31</w:t>
            </w: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2070808</w:t>
            </w:r>
          </w:p>
        </w:tc>
        <w:tc>
          <w:tcPr>
            <w:tcW w:w="4535" w:type="dxa"/>
            <w:vAlign w:val="center"/>
          </w:tcPr>
          <w:p>
            <w:pPr>
              <w:pStyle w:val="12"/>
            </w:pPr>
            <w:r>
              <w:t>广播电视事务</w:t>
            </w:r>
          </w:p>
        </w:tc>
        <w:tc>
          <w:tcPr>
            <w:tcW w:w="2551" w:type="dxa"/>
            <w:vAlign w:val="center"/>
          </w:tcPr>
          <w:p>
            <w:pPr>
              <w:pStyle w:val="11"/>
            </w:pPr>
            <w:r>
              <w:t>953.31</w:t>
            </w:r>
          </w:p>
        </w:tc>
        <w:tc>
          <w:tcPr>
            <w:tcW w:w="2551" w:type="dxa"/>
            <w:vAlign w:val="center"/>
          </w:tcPr>
          <w:p>
            <w:pPr>
              <w:pStyle w:val="11"/>
            </w:pPr>
            <w:r>
              <w:t>928.31</w:t>
            </w: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20799</w:t>
            </w:r>
          </w:p>
        </w:tc>
        <w:tc>
          <w:tcPr>
            <w:tcW w:w="4535" w:type="dxa"/>
            <w:vAlign w:val="center"/>
          </w:tcPr>
          <w:p>
            <w:pPr>
              <w:pStyle w:val="12"/>
            </w:pPr>
            <w:r>
              <w:t>其他文化旅游体育与传媒支出</w:t>
            </w:r>
          </w:p>
        </w:tc>
        <w:tc>
          <w:tcPr>
            <w:tcW w:w="2551" w:type="dxa"/>
            <w:vAlign w:val="center"/>
          </w:tcPr>
          <w:p>
            <w:pPr>
              <w:pStyle w:val="11"/>
            </w:pPr>
            <w:r>
              <w:t>31.20</w:t>
            </w:r>
          </w:p>
        </w:tc>
        <w:tc>
          <w:tcPr>
            <w:tcW w:w="2551" w:type="dxa"/>
            <w:vAlign w:val="center"/>
          </w:tcPr>
          <w:p>
            <w:pPr>
              <w:pStyle w:val="11"/>
            </w:pPr>
          </w:p>
        </w:tc>
        <w:tc>
          <w:tcPr>
            <w:tcW w:w="2551" w:type="dxa"/>
            <w:vAlign w:val="center"/>
          </w:tcPr>
          <w:p>
            <w:pPr>
              <w:pStyle w:val="11"/>
            </w:pPr>
            <w:r>
              <w:t>31.20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2079999</w:t>
            </w:r>
          </w:p>
        </w:tc>
        <w:tc>
          <w:tcPr>
            <w:tcW w:w="4535" w:type="dxa"/>
            <w:vAlign w:val="center"/>
          </w:tcPr>
          <w:p>
            <w:pPr>
              <w:pStyle w:val="12"/>
            </w:pPr>
            <w:r>
              <w:t>其他文化旅游体育与传媒支出</w:t>
            </w:r>
          </w:p>
        </w:tc>
        <w:tc>
          <w:tcPr>
            <w:tcW w:w="2551" w:type="dxa"/>
            <w:vAlign w:val="center"/>
          </w:tcPr>
          <w:p>
            <w:pPr>
              <w:pStyle w:val="11"/>
            </w:pPr>
            <w:r>
              <w:t>31.20</w:t>
            </w:r>
          </w:p>
        </w:tc>
        <w:tc>
          <w:tcPr>
            <w:tcW w:w="2551" w:type="dxa"/>
            <w:vAlign w:val="center"/>
          </w:tcPr>
          <w:p>
            <w:pPr>
              <w:pStyle w:val="11"/>
            </w:pPr>
          </w:p>
        </w:tc>
        <w:tc>
          <w:tcPr>
            <w:tcW w:w="2551" w:type="dxa"/>
            <w:vAlign w:val="center"/>
          </w:tcPr>
          <w:p>
            <w:pPr>
              <w:pStyle w:val="11"/>
            </w:pPr>
            <w:r>
              <w:t>31.20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928.31</w:t>
            </w:r>
          </w:p>
        </w:tc>
        <w:tc>
          <w:tcPr>
            <w:tcW w:w="2551" w:type="dxa"/>
            <w:vAlign w:val="center"/>
          </w:tcPr>
          <w:p>
            <w:pPr>
              <w:pStyle w:val="15"/>
            </w:pPr>
            <w:r>
              <w:t>900.09</w:t>
            </w:r>
          </w:p>
        </w:tc>
        <w:tc>
          <w:tcPr>
            <w:tcW w:w="2551" w:type="dxa"/>
            <w:vAlign w:val="center"/>
          </w:tcPr>
          <w:p>
            <w:pPr>
              <w:pStyle w:val="15"/>
            </w:pPr>
            <w:r>
              <w:t>28.22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830.14</w:t>
            </w:r>
          </w:p>
        </w:tc>
        <w:tc>
          <w:tcPr>
            <w:tcW w:w="2551" w:type="dxa"/>
            <w:vAlign w:val="center"/>
          </w:tcPr>
          <w:p>
            <w:pPr>
              <w:pStyle w:val="11"/>
            </w:pPr>
            <w:r>
              <w:t>830.14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306.27</w:t>
            </w:r>
          </w:p>
        </w:tc>
        <w:tc>
          <w:tcPr>
            <w:tcW w:w="2551" w:type="dxa"/>
            <w:vAlign w:val="center"/>
          </w:tcPr>
          <w:p>
            <w:pPr>
              <w:pStyle w:val="11"/>
            </w:pPr>
            <w:r>
              <w:t>306.27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45.18</w:t>
            </w:r>
          </w:p>
        </w:tc>
        <w:tc>
          <w:tcPr>
            <w:tcW w:w="2551" w:type="dxa"/>
            <w:vAlign w:val="center"/>
          </w:tcPr>
          <w:p>
            <w:pPr>
              <w:pStyle w:val="11"/>
            </w:pPr>
            <w:r>
              <w:t>45.18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229.03</w:t>
            </w:r>
          </w:p>
        </w:tc>
        <w:tc>
          <w:tcPr>
            <w:tcW w:w="2551" w:type="dxa"/>
            <w:vAlign w:val="center"/>
          </w:tcPr>
          <w:p>
            <w:pPr>
              <w:pStyle w:val="11"/>
            </w:pPr>
            <w:r>
              <w:t>229.03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79.60</w:t>
            </w:r>
          </w:p>
        </w:tc>
        <w:tc>
          <w:tcPr>
            <w:tcW w:w="2551" w:type="dxa"/>
            <w:vAlign w:val="center"/>
          </w:tcPr>
          <w:p>
            <w:pPr>
              <w:pStyle w:val="11"/>
            </w:pPr>
            <w:r>
              <w:t>79.60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67.12</w:t>
            </w:r>
          </w:p>
        </w:tc>
        <w:tc>
          <w:tcPr>
            <w:tcW w:w="2551" w:type="dxa"/>
            <w:vAlign w:val="center"/>
          </w:tcPr>
          <w:p>
            <w:pPr>
              <w:pStyle w:val="11"/>
            </w:pPr>
            <w:r>
              <w:t>67.12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31.98</w:t>
            </w:r>
          </w:p>
        </w:tc>
        <w:tc>
          <w:tcPr>
            <w:tcW w:w="2551" w:type="dxa"/>
            <w:vAlign w:val="center"/>
          </w:tcPr>
          <w:p>
            <w:pPr>
              <w:pStyle w:val="11"/>
            </w:pPr>
            <w:r>
              <w:t>31.98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5.06</w:t>
            </w:r>
          </w:p>
        </w:tc>
        <w:tc>
          <w:tcPr>
            <w:tcW w:w="2551" w:type="dxa"/>
            <w:vAlign w:val="center"/>
          </w:tcPr>
          <w:p>
            <w:pPr>
              <w:pStyle w:val="11"/>
            </w:pPr>
            <w:r>
              <w:t>5.06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65.90</w:t>
            </w:r>
          </w:p>
        </w:tc>
        <w:tc>
          <w:tcPr>
            <w:tcW w:w="2551" w:type="dxa"/>
            <w:vAlign w:val="center"/>
          </w:tcPr>
          <w:p>
            <w:pPr>
              <w:pStyle w:val="11"/>
            </w:pPr>
            <w:r>
              <w:t>65.90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27.92</w:t>
            </w:r>
          </w:p>
        </w:tc>
        <w:tc>
          <w:tcPr>
            <w:tcW w:w="2551" w:type="dxa"/>
            <w:vAlign w:val="center"/>
          </w:tcPr>
          <w:p>
            <w:pPr>
              <w:pStyle w:val="11"/>
            </w:pPr>
          </w:p>
        </w:tc>
        <w:tc>
          <w:tcPr>
            <w:tcW w:w="2551" w:type="dxa"/>
            <w:vAlign w:val="center"/>
          </w:tcPr>
          <w:p>
            <w:pPr>
              <w:pStyle w:val="11"/>
            </w:pPr>
            <w:r>
              <w:t>27.92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7.16</w:t>
            </w:r>
          </w:p>
        </w:tc>
        <w:tc>
          <w:tcPr>
            <w:tcW w:w="2551" w:type="dxa"/>
            <w:vAlign w:val="center"/>
          </w:tcPr>
          <w:p>
            <w:pPr>
              <w:pStyle w:val="11"/>
            </w:pPr>
          </w:p>
        </w:tc>
        <w:tc>
          <w:tcPr>
            <w:tcW w:w="2551" w:type="dxa"/>
            <w:vAlign w:val="center"/>
          </w:tcPr>
          <w:p>
            <w:pPr>
              <w:pStyle w:val="11"/>
            </w:pPr>
            <w:r>
              <w:t>7.16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6.62</w:t>
            </w:r>
          </w:p>
        </w:tc>
        <w:tc>
          <w:tcPr>
            <w:tcW w:w="2551" w:type="dxa"/>
            <w:vAlign w:val="center"/>
          </w:tcPr>
          <w:p>
            <w:pPr>
              <w:pStyle w:val="11"/>
            </w:pPr>
          </w:p>
        </w:tc>
        <w:tc>
          <w:tcPr>
            <w:tcW w:w="2551" w:type="dxa"/>
            <w:vAlign w:val="center"/>
          </w:tcPr>
          <w:p>
            <w:pPr>
              <w:pStyle w:val="11"/>
            </w:pPr>
            <w:r>
              <w:t>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0.22</w:t>
            </w:r>
          </w:p>
        </w:tc>
        <w:tc>
          <w:tcPr>
            <w:tcW w:w="2551" w:type="dxa"/>
            <w:vAlign w:val="center"/>
          </w:tcPr>
          <w:p>
            <w:pPr>
              <w:pStyle w:val="11"/>
            </w:pPr>
          </w:p>
        </w:tc>
        <w:tc>
          <w:tcPr>
            <w:tcW w:w="2551" w:type="dxa"/>
            <w:vAlign w:val="center"/>
          </w:tcPr>
          <w:p>
            <w:pPr>
              <w:pStyle w:val="11"/>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5.97</w:t>
            </w:r>
          </w:p>
        </w:tc>
        <w:tc>
          <w:tcPr>
            <w:tcW w:w="2551" w:type="dxa"/>
            <w:vAlign w:val="center"/>
          </w:tcPr>
          <w:p>
            <w:pPr>
              <w:pStyle w:val="11"/>
            </w:pPr>
          </w:p>
        </w:tc>
        <w:tc>
          <w:tcPr>
            <w:tcW w:w="2551" w:type="dxa"/>
            <w:vAlign w:val="center"/>
          </w:tcPr>
          <w:p>
            <w:pPr>
              <w:pStyle w:val="11"/>
            </w:pPr>
            <w:r>
              <w:t>5.97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7.95</w:t>
            </w:r>
          </w:p>
        </w:tc>
        <w:tc>
          <w:tcPr>
            <w:tcW w:w="2551" w:type="dxa"/>
            <w:vAlign w:val="center"/>
          </w:tcPr>
          <w:p>
            <w:pPr>
              <w:pStyle w:val="11"/>
            </w:pPr>
          </w:p>
        </w:tc>
        <w:tc>
          <w:tcPr>
            <w:tcW w:w="2551" w:type="dxa"/>
            <w:vAlign w:val="center"/>
          </w:tcPr>
          <w:p>
            <w:pPr>
              <w:pStyle w:val="11"/>
            </w:pPr>
            <w:r>
              <w:t>7.95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69.95</w:t>
            </w:r>
          </w:p>
        </w:tc>
        <w:tc>
          <w:tcPr>
            <w:tcW w:w="2551" w:type="dxa"/>
            <w:vAlign w:val="center"/>
          </w:tcPr>
          <w:p>
            <w:pPr>
              <w:pStyle w:val="11"/>
            </w:pPr>
            <w:r>
              <w:t>69.95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68.90</w:t>
            </w:r>
          </w:p>
        </w:tc>
        <w:tc>
          <w:tcPr>
            <w:tcW w:w="2551" w:type="dxa"/>
            <w:vAlign w:val="center"/>
          </w:tcPr>
          <w:p>
            <w:pPr>
              <w:pStyle w:val="11"/>
            </w:pPr>
            <w:r>
              <w:t>68.90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1.05</w:t>
            </w:r>
          </w:p>
        </w:tc>
        <w:tc>
          <w:tcPr>
            <w:tcW w:w="2551" w:type="dxa"/>
            <w:vAlign w:val="center"/>
          </w:tcPr>
          <w:p>
            <w:pPr>
              <w:pStyle w:val="11"/>
            </w:pPr>
            <w:r>
              <w:t>1.05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0.30</w:t>
            </w:r>
          </w:p>
        </w:tc>
        <w:tc>
          <w:tcPr>
            <w:tcW w:w="2551" w:type="dxa"/>
            <w:vAlign w:val="center"/>
          </w:tcPr>
          <w:p>
            <w:pPr>
              <w:pStyle w:val="11"/>
            </w:pPr>
          </w:p>
        </w:tc>
        <w:tc>
          <w:tcPr>
            <w:tcW w:w="2551" w:type="dxa"/>
            <w:vAlign w:val="center"/>
          </w:tcPr>
          <w:p>
            <w:pPr>
              <w:pStyle w:val="11"/>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0.30</w:t>
            </w:r>
          </w:p>
        </w:tc>
        <w:tc>
          <w:tcPr>
            <w:tcW w:w="2551" w:type="dxa"/>
            <w:vAlign w:val="center"/>
          </w:tcPr>
          <w:p>
            <w:pPr>
              <w:pStyle w:val="11"/>
            </w:pPr>
          </w:p>
        </w:tc>
        <w:tc>
          <w:tcPr>
            <w:tcW w:w="2551" w:type="dxa"/>
            <w:vAlign w:val="center"/>
          </w:tcPr>
          <w:p>
            <w:pPr>
              <w:pStyle w:val="11"/>
            </w:pPr>
            <w:r>
              <w:t>0.30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359新乐市融媒体中心</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ind w:firstLine="420"/>
      </w:pPr>
      <w:r>
        <w:rPr>
          <w:rFonts w:ascii="方正书宋_GBK" w:hAnsi="方正书宋_GBK" w:eastAsia="方正书宋_GBK" w:cs="方正书宋_GBK"/>
          <w:color w:val="000000"/>
          <w:sz w:val="21"/>
        </w:rPr>
        <w:t>注：无财政拨款“三公”经费支出预算，空表列示。</w:t>
      </w:r>
    </w:p>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新乐市融媒体中心2026年部门预算信息公开情况说明</w:t>
      </w:r>
    </w:p>
    <w:p>
      <w:pPr>
        <w:jc w:val="center"/>
      </w:pPr>
      <w:r>
        <w:rPr>
          <w:rFonts w:ascii="方正小标宋_GBK" w:hAnsi="方正小标宋_GBK" w:eastAsia="方正小标宋_GBK" w:cs="方正小标宋_GBK"/>
          <w:color w:val="000000"/>
          <w:sz w:val="44"/>
        </w:rPr>
        <w:t>新乐市融媒体中心2026年部门预算信息公开情况说明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按照《中华人民共和国预算法》、《地方预决算公开操作规程》和《关于进一步推进预算公开工作的实施意见》规定，现将新乐市融媒体中心2026年部门预算公开如下：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7"/>
      </w:pPr>
      <w:r>
        <w:t>负责宣传贯彻执行党和国家的路线、方针、政策、把握正确的舆论导向，充分发挥党和政府的喉舌作用，围绕市委、市政府的中心工作开展新闻宣传；严格执行广播电视行业法规；负责完成传输中央、省、市广播电视节目；负责广播电视节目的采、编、播及广播、电视节目交流；负责自办节目的策划、采制、审查、包装以及播出编排和管理工作；负责广播电视对外宣传工作；负责广告和相关创收项目的策划、制作、经营及优质安全播出；负责完成市委、市政府和上级主管部门交办的其他工作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新乐市融媒体中心本级</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财政性资金定额或定项补助</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8"/>
      </w:pPr>
      <w:r>
        <w:t>按照预算管理有关规定，目前部门预算的编制实行综合预算管理，即全部收入和支出都反映在预算中。新乐市融媒体中心机关及所属事业单位的收支包含在部门预算中。</w:t>
      </w:r>
    </w:p>
    <w:p>
      <w:pPr>
        <w:pStyle w:val="18"/>
      </w:pPr>
      <w:r>
        <w:t>1、收入说明</w:t>
      </w:r>
    </w:p>
    <w:p>
      <w:pPr>
        <w:pStyle w:val="18"/>
      </w:pPr>
      <w:r>
        <w:t>反映本部门当年全部收入。2026年预算收入984.51万元，其中：一般公共预算收入984.51万元，基金预算收入0.00万元，国有资本经营预算收入0.00万元，财政专户核拨收入0.00万元，单位资金收入0.00万元，上年结转结余0.00万元。</w:t>
      </w:r>
    </w:p>
    <w:p>
      <w:pPr>
        <w:pStyle w:val="18"/>
      </w:pPr>
      <w:r>
        <w:t>2、支出说明</w:t>
      </w:r>
    </w:p>
    <w:p>
      <w:pPr>
        <w:pStyle w:val="18"/>
      </w:pPr>
      <w:r>
        <w:t>收支预算总表支出栏、基本支出表、项目支出表按经济分类和支出功能分类科目编制，反映新乐市融媒体中心年度部门预算中支出预算的总体情况。2026年支出预算984.51万元，其中基本支出928.31万元，包括人员经费900.09万元和日常公用经费28.22万元；项目支出56.20万元，主要为融媒体中心运行维护费和中央广播电视节目无线数字化覆盖工程建设项目；预计下年使用的单位资金结余0.00万元。委托业务费共计安排0.00万元，主要用于因技术原因确需对外委托的辅助性工作和确有必要对外委托开展咨询、评审、规划等工作。</w:t>
      </w:r>
    </w:p>
    <w:p>
      <w:pPr>
        <w:pStyle w:val="18"/>
      </w:pPr>
      <w:r>
        <w:t>3、比上年增减情况</w:t>
      </w:r>
    </w:p>
    <w:p>
      <w:pPr>
        <w:pStyle w:val="18"/>
      </w:pPr>
      <w:r>
        <w:t>2026年预算收支安排984.51万元，较2025年预算增加165.77万元，其中：基本支出增加109.57万元，主要为人员工资及各项保险缴纳项目支出增加56.20万元，主要为融媒体中心运行维护费和中央广播电视节目无线数字化覆盖工程建设项目。预计下年使用的单位资金结余增加0.00万元。</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19"/>
      </w:pPr>
      <w:r>
        <w:t>2026年，我部门机关运行经费共计安排28.22万元，主要用于日常维修、办公用房水电费、办公用房取暖费、办公用房物业管理费等日常运行支出。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0"/>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我中心无“三公”经费。</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1"/>
      </w:pPr>
      <w:r>
        <w:t>一、总体绩效目标：  广播电影电视事业建设。宣传党的路线、方针、政策和市委市政府的工作部署，坚持正确舆论导向，发挥主流媒体作用；办好各类广播电视目；开展各类宣传工作；配合上级台完成我市的采访报道工作。负责全市广播电视微波电路正常运行和维护，负责相关设备的正常运行和维护，在在全市建立广播电视安全播出保障体系，负责全市广播电视、互联网安全优质播出。</w:t>
      </w:r>
    </w:p>
    <w:p>
      <w:pPr>
        <w:spacing w:line="500" w:lineRule="exact"/>
        <w:ind w:firstLine="560"/>
      </w:pPr>
      <w:r>
        <w:rPr>
          <w:rFonts w:eastAsia="方正仿宋_GBK"/>
          <w:color w:val="000000"/>
          <w:sz w:val="28"/>
        </w:rPr>
        <w:t>（二）分项绩效目标</w:t>
      </w:r>
    </w:p>
    <w:p>
      <w:pPr>
        <w:pStyle w:val="22"/>
      </w:pPr>
      <w:r>
        <w:t>二、分项绩效目标：</w:t>
      </w:r>
    </w:p>
    <w:p>
      <w:pPr>
        <w:pStyle w:val="22"/>
      </w:pPr>
      <w:r>
        <w:t>（一）广播电视节目制作播出</w:t>
      </w:r>
    </w:p>
    <w:p>
      <w:pPr>
        <w:pStyle w:val="22"/>
      </w:pPr>
      <w:r>
        <w:t>绩效目标：研发新节目，打造品牌活动，媒体识别度和影响力进一步提升收听收看群体扩大。</w:t>
      </w:r>
    </w:p>
    <w:p>
      <w:pPr>
        <w:pStyle w:val="22"/>
      </w:pPr>
      <w:r>
        <w:t>绩效指标：开办新数量栏目</w:t>
      </w:r>
    </w:p>
    <w:p>
      <w:pPr>
        <w:pStyle w:val="22"/>
      </w:pPr>
      <w:r>
        <w:t>（二）广播电视节目制作能力建设</w:t>
      </w:r>
    </w:p>
    <w:p>
      <w:pPr>
        <w:pStyle w:val="22"/>
      </w:pPr>
      <w:r>
        <w:t>绩效目标：通过技术升级，实现县级台内容资源互通互享，提高节目制作能力和传播能力；拓展新媒体传播途径，开拓新型业务。</w:t>
      </w:r>
    </w:p>
    <w:p>
      <w:pPr>
        <w:pStyle w:val="22"/>
      </w:pPr>
      <w:r>
        <w:t>绩效指标:新媒体设备利用率</w:t>
      </w:r>
    </w:p>
    <w:p>
      <w:pPr>
        <w:pStyle w:val="22"/>
      </w:pPr>
      <w:r>
        <w:t>（三）综合事务管理</w:t>
      </w:r>
    </w:p>
    <w:p>
      <w:pPr>
        <w:pStyle w:val="22"/>
      </w:pPr>
      <w:r>
        <w:t>绩效目标：保障机关工作正常高效运转</w:t>
      </w:r>
    </w:p>
    <w:p>
      <w:pPr>
        <w:pStyle w:val="22"/>
      </w:pPr>
      <w:r>
        <w:t>绩效指标：综合事务管理工作完成率</w:t>
      </w:r>
    </w:p>
    <w:p>
      <w:pPr>
        <w:spacing w:line="500" w:lineRule="exact"/>
        <w:ind w:firstLine="560"/>
      </w:pPr>
      <w:r>
        <w:rPr>
          <w:rFonts w:eastAsia="方正仿宋_GBK"/>
          <w:color w:val="000000"/>
          <w:sz w:val="28"/>
        </w:rPr>
        <w:t>（三）工作保障措施</w:t>
      </w:r>
    </w:p>
    <w:p>
      <w:pPr>
        <w:pStyle w:val="23"/>
      </w:pPr>
      <w:r>
        <w:t>三、工作保障措施：</w:t>
      </w:r>
    </w:p>
    <w:p>
      <w:pPr>
        <w:pStyle w:val="23"/>
      </w:pPr>
      <w:r>
        <w:t>1、广播电视节目制作播出。     坚持正确舆论导向，发挥主流媒体作用，加强内容形式以及方法手段创新，提高广播电视覆盖人口规和数量，提升影响力。202</w:t>
      </w:r>
      <w:r>
        <w:rPr>
          <w:rFonts w:hint="eastAsia"/>
          <w:lang w:val="en-US" w:eastAsia="zh-CN"/>
        </w:rPr>
        <w:t>6</w:t>
      </w:r>
      <w:r>
        <w:t>年新乐市融媒体中心将整合众多公共媒介资源，推动传统媒体和新兴媒体深度融合，大大提高电视节目的制作和播出。</w:t>
      </w:r>
    </w:p>
    <w:p>
      <w:pPr>
        <w:pStyle w:val="23"/>
      </w:pPr>
      <w:r>
        <w:t>2、广播电视节目制作能力建设。</w:t>
      </w:r>
    </w:p>
    <w:p>
      <w:pPr>
        <w:pStyle w:val="23"/>
      </w:pPr>
      <w:r>
        <w:t>加强技术管理、技术升级改造及设备设施维护，开展新技术应用。202</w:t>
      </w:r>
      <w:r>
        <w:rPr>
          <w:rFonts w:hint="eastAsia"/>
          <w:lang w:val="en-US" w:eastAsia="zh-CN"/>
        </w:rPr>
        <w:t>6</w:t>
      </w:r>
      <w:r>
        <w:t>年新乐市融媒体中心的建设将对专业设备升级改造，以适应新技术需要和有效保障安全优质播出；进一步提升了广播电视节目采、编、播能力。</w:t>
      </w:r>
    </w:p>
    <w:p>
      <w:pPr>
        <w:pStyle w:val="23"/>
      </w:pPr>
      <w:r>
        <w:t>3、安全播出管理。       对于节目的安全播出，专业人员定期对技术系统、基础设施和辅助安全播出设施进行巡检、维修保养及软件升级等，保证节目的安全播出。</w:t>
      </w:r>
    </w:p>
    <w:p>
      <w:pPr>
        <w:pStyle w:val="23"/>
      </w:pPr>
      <w:r>
        <w:t>4、提高节目覆盖率</w:t>
      </w:r>
    </w:p>
    <w:p>
      <w:pPr>
        <w:pStyle w:val="23"/>
      </w:pPr>
      <w:r>
        <w:t>融媒体中心建设整合网站、广播、电视、微信等公共媒介资源，推动传统媒体和新兴媒体多方位、多渠道、多平台深度融合，打造技术先进、传输快捷、覆盖广泛的现代化传播体系，该媒体中心的建成是县级媒体转型升级的重大战略工程，技术系统、基础设施和辅助设施的运行维护工作是融媒体中心的重中之重，关系着融媒体中心的技术能力，传播速度和传播范围。</w:t>
      </w:r>
    </w:p>
    <w:p>
      <w:pPr>
        <w:pStyle w:val="23"/>
      </w:pPr>
      <w:r>
        <w:t>5、综合事务管理</w:t>
      </w:r>
    </w:p>
    <w:p>
      <w:pPr>
        <w:pStyle w:val="23"/>
        <w:sectPr>
          <w:pgSz w:w="16840" w:h="11900" w:orient="landscape"/>
          <w:pgMar w:top="1361" w:right="1020" w:bottom="1361" w:left="1020" w:header="720" w:footer="720" w:gutter="0"/>
          <w:cols w:space="720" w:num="1"/>
        </w:sectPr>
      </w:pPr>
      <w:r>
        <w:t>开展专业人员的研究、培训、后勤保障以及其他各项基础性保障工作。</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1、202</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年新乐市融媒体中心运行经费绩效目标表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13018426P00009410003Y</w:t>
            </w:r>
          </w:p>
        </w:tc>
        <w:tc>
          <w:tcPr>
            <w:tcW w:w="2835" w:type="dxa"/>
            <w:vAlign w:val="center"/>
          </w:tcPr>
          <w:p>
            <w:pPr>
              <w:pStyle w:val="10"/>
            </w:pPr>
            <w:r>
              <w:t>项目名称</w:t>
            </w:r>
          </w:p>
        </w:tc>
        <w:tc>
          <w:tcPr>
            <w:tcW w:w="6095" w:type="dxa"/>
            <w:gridSpan w:val="3"/>
            <w:vAlign w:val="center"/>
          </w:tcPr>
          <w:p>
            <w:pPr>
              <w:pStyle w:val="12"/>
            </w:pPr>
            <w:r>
              <w:t>2025年新乐市融媒体中心运行经费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传统媒体与新兴媒体有机结合，提升媒体传播速度，扩大覆盖范围，充分发挥主流媒体的优势，提高影响力同时提升经济效益。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6.25</w:t>
            </w:r>
          </w:p>
        </w:tc>
        <w:tc>
          <w:tcPr>
            <w:tcW w:w="2835" w:type="dxa"/>
            <w:vAlign w:val="center"/>
          </w:tcPr>
          <w:p>
            <w:pPr>
              <w:pStyle w:val="13"/>
            </w:pPr>
            <w:r>
              <w:t>12.50</w:t>
            </w:r>
          </w:p>
        </w:tc>
        <w:tc>
          <w:tcPr>
            <w:tcW w:w="2551" w:type="dxa"/>
            <w:vAlign w:val="center"/>
          </w:tcPr>
          <w:p>
            <w:pPr>
              <w:pStyle w:val="13"/>
            </w:pPr>
            <w:r>
              <w:t>18.75</w:t>
            </w:r>
          </w:p>
        </w:tc>
        <w:tc>
          <w:tcPr>
            <w:tcW w:w="3544" w:type="dxa"/>
            <w:gridSpan w:val="2"/>
            <w:vAlign w:val="center"/>
          </w:tcPr>
          <w:p>
            <w:pPr>
              <w:pStyle w:val="13"/>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1.充分发挥主流媒体的优势，提高影响力同时提升经济效益。</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综合事务管理工作完成情况</w:t>
            </w:r>
          </w:p>
        </w:tc>
        <w:tc>
          <w:tcPr>
            <w:tcW w:w="5386" w:type="dxa"/>
            <w:vAlign w:val="center"/>
          </w:tcPr>
          <w:p>
            <w:pPr>
              <w:pStyle w:val="12"/>
            </w:pPr>
            <w:r>
              <w:t>综合事务管理工作完成情况</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软件维护比例（%）</w:t>
            </w:r>
          </w:p>
        </w:tc>
        <w:tc>
          <w:tcPr>
            <w:tcW w:w="5386" w:type="dxa"/>
            <w:vAlign w:val="center"/>
          </w:tcPr>
          <w:p>
            <w:pPr>
              <w:pStyle w:val="12"/>
            </w:pPr>
            <w:r>
              <w:t>软件维护数量占总数量的比例</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系统故障响应时间</w:t>
            </w:r>
          </w:p>
        </w:tc>
        <w:tc>
          <w:tcPr>
            <w:tcW w:w="5386" w:type="dxa"/>
            <w:vAlign w:val="center"/>
          </w:tcPr>
          <w:p>
            <w:pPr>
              <w:pStyle w:val="12"/>
            </w:pPr>
            <w:r>
              <w:t>系统发生故障时保障修复的及时性</w:t>
            </w:r>
          </w:p>
        </w:tc>
        <w:tc>
          <w:tcPr>
            <w:tcW w:w="2268" w:type="dxa"/>
            <w:vAlign w:val="center"/>
          </w:tcPr>
          <w:p>
            <w:pPr>
              <w:pStyle w:val="12"/>
            </w:pPr>
            <w:r>
              <w:t>≤24小时</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正常运转所消耗的成本</w:t>
            </w:r>
          </w:p>
        </w:tc>
        <w:tc>
          <w:tcPr>
            <w:tcW w:w="5386" w:type="dxa"/>
            <w:vAlign w:val="center"/>
          </w:tcPr>
          <w:p>
            <w:pPr>
              <w:pStyle w:val="12"/>
            </w:pPr>
            <w:r>
              <w:t>正常运转所消耗的成本情况</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融媒体中心传播覆盖率</w:t>
            </w:r>
          </w:p>
        </w:tc>
        <w:tc>
          <w:tcPr>
            <w:tcW w:w="5386" w:type="dxa"/>
            <w:vAlign w:val="center"/>
          </w:tcPr>
          <w:p>
            <w:pPr>
              <w:pStyle w:val="12"/>
            </w:pPr>
            <w:r>
              <w:t>反映新媒体设备影响率</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打造新品牌</w:t>
            </w:r>
          </w:p>
        </w:tc>
        <w:tc>
          <w:tcPr>
            <w:tcW w:w="5386" w:type="dxa"/>
            <w:vAlign w:val="center"/>
          </w:tcPr>
          <w:p>
            <w:pPr>
              <w:pStyle w:val="12"/>
            </w:pPr>
            <w:r>
              <w:t>打造主流媒体的传播力和影响力</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环保指标合格率</w:t>
            </w:r>
          </w:p>
        </w:tc>
        <w:tc>
          <w:tcPr>
            <w:tcW w:w="5386" w:type="dxa"/>
            <w:vAlign w:val="center"/>
          </w:tcPr>
          <w:p>
            <w:pPr>
              <w:pStyle w:val="12"/>
            </w:pPr>
            <w:r>
              <w:t>减少环境污染</w:t>
            </w:r>
          </w:p>
        </w:tc>
        <w:tc>
          <w:tcPr>
            <w:tcW w:w="2268" w:type="dxa"/>
            <w:vAlign w:val="center"/>
          </w:tcPr>
          <w:p>
            <w:pPr>
              <w:pStyle w:val="12"/>
            </w:pPr>
            <w:r>
              <w:t>≥98百分比</w:t>
            </w:r>
          </w:p>
        </w:tc>
        <w:tc>
          <w:tcPr>
            <w:tcW w:w="1276" w:type="dxa"/>
            <w:vAlign w:val="center"/>
          </w:tcPr>
          <w:p>
            <w:pPr>
              <w:pStyle w:val="12"/>
            </w:pPr>
            <w:r>
              <w:t>年度计划指标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观众满意度</w:t>
            </w:r>
          </w:p>
        </w:tc>
        <w:tc>
          <w:tcPr>
            <w:tcW w:w="5386" w:type="dxa"/>
            <w:vAlign w:val="center"/>
          </w:tcPr>
          <w:p>
            <w:pPr>
              <w:pStyle w:val="12"/>
            </w:pPr>
            <w:r>
              <w:t>观众满意度</w:t>
            </w:r>
          </w:p>
        </w:tc>
        <w:tc>
          <w:tcPr>
            <w:tcW w:w="2268" w:type="dxa"/>
            <w:vAlign w:val="center"/>
          </w:tcPr>
          <w:p>
            <w:pPr>
              <w:pStyle w:val="12"/>
            </w:pPr>
            <w:r>
              <w:t>≥98百分比</w:t>
            </w:r>
          </w:p>
        </w:tc>
        <w:tc>
          <w:tcPr>
            <w:tcW w:w="1276" w:type="dxa"/>
            <w:vAlign w:val="center"/>
          </w:tcPr>
          <w:p>
            <w:pPr>
              <w:pStyle w:val="12"/>
            </w:pPr>
            <w:r>
              <w:t>年度计划指标</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2、冀财教【2025】115号-提前下达2026年中央支持地方公共文化服务体系建设补助资金-数字运行维护费绩效目标表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13018426P00004410050B</w:t>
            </w:r>
          </w:p>
        </w:tc>
        <w:tc>
          <w:tcPr>
            <w:tcW w:w="2835" w:type="dxa"/>
            <w:vAlign w:val="center"/>
          </w:tcPr>
          <w:p>
            <w:pPr>
              <w:pStyle w:val="10"/>
            </w:pPr>
            <w:r>
              <w:t>项目名称</w:t>
            </w:r>
          </w:p>
        </w:tc>
        <w:tc>
          <w:tcPr>
            <w:tcW w:w="6095" w:type="dxa"/>
            <w:gridSpan w:val="3"/>
            <w:vAlign w:val="center"/>
          </w:tcPr>
          <w:p>
            <w:pPr>
              <w:pStyle w:val="12"/>
            </w:pPr>
            <w:r>
              <w:t>冀财教【2025】115号-提前下达2026年中央支持地方公共文化服务体系建设补助资金-数字运行维护费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31.20</w:t>
            </w:r>
          </w:p>
        </w:tc>
        <w:tc>
          <w:tcPr>
            <w:tcW w:w="2835" w:type="dxa"/>
            <w:vAlign w:val="center"/>
          </w:tcPr>
          <w:p>
            <w:pPr>
              <w:pStyle w:val="10"/>
            </w:pPr>
            <w:r>
              <w:t>其中：财政    资金</w:t>
            </w:r>
          </w:p>
        </w:tc>
        <w:tc>
          <w:tcPr>
            <w:tcW w:w="2551" w:type="dxa"/>
            <w:vAlign w:val="center"/>
          </w:tcPr>
          <w:p>
            <w:pPr>
              <w:pStyle w:val="12"/>
            </w:pPr>
            <w:r>
              <w:t>31.20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实现中央无线数字化覆盖工程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7.80</w:t>
            </w:r>
          </w:p>
        </w:tc>
        <w:tc>
          <w:tcPr>
            <w:tcW w:w="2835" w:type="dxa"/>
            <w:vAlign w:val="center"/>
          </w:tcPr>
          <w:p>
            <w:pPr>
              <w:pStyle w:val="13"/>
            </w:pPr>
            <w:r>
              <w:t>15.60</w:t>
            </w:r>
          </w:p>
        </w:tc>
        <w:tc>
          <w:tcPr>
            <w:tcW w:w="2551" w:type="dxa"/>
            <w:vAlign w:val="center"/>
          </w:tcPr>
          <w:p>
            <w:pPr>
              <w:pStyle w:val="13"/>
            </w:pPr>
            <w:r>
              <w:t>23.40</w:t>
            </w:r>
          </w:p>
        </w:tc>
        <w:tc>
          <w:tcPr>
            <w:tcW w:w="3544" w:type="dxa"/>
            <w:gridSpan w:val="2"/>
            <w:vAlign w:val="center"/>
          </w:tcPr>
          <w:p>
            <w:pPr>
              <w:pStyle w:val="13"/>
            </w:pPr>
            <w:r>
              <w:t>31.20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1.保证中央广播无线数字化覆盖工程安全运行，提高我台节目播出质量，充分发挥电视媒体主流作用。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发射机满功率、满时间</w:t>
            </w:r>
          </w:p>
        </w:tc>
        <w:tc>
          <w:tcPr>
            <w:tcW w:w="5386" w:type="dxa"/>
            <w:vAlign w:val="center"/>
          </w:tcPr>
          <w:p>
            <w:pPr>
              <w:pStyle w:val="12"/>
            </w:pPr>
            <w:r>
              <w:t>发射机满功率、满时间</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节目质量合格率</w:t>
            </w:r>
          </w:p>
        </w:tc>
        <w:tc>
          <w:tcPr>
            <w:tcW w:w="5386" w:type="dxa"/>
            <w:vAlign w:val="center"/>
          </w:tcPr>
          <w:p>
            <w:pPr>
              <w:pStyle w:val="12"/>
            </w:pPr>
            <w:r>
              <w:t>电视节目画面质量合格率</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转播节目的效率</w:t>
            </w:r>
          </w:p>
        </w:tc>
        <w:tc>
          <w:tcPr>
            <w:tcW w:w="5386" w:type="dxa"/>
            <w:vAlign w:val="center"/>
          </w:tcPr>
          <w:p>
            <w:pPr>
              <w:pStyle w:val="12"/>
            </w:pPr>
            <w:r>
              <w:t>转笔节目的时效性</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按预算资金完成率</w:t>
            </w:r>
          </w:p>
        </w:tc>
        <w:tc>
          <w:tcPr>
            <w:tcW w:w="5386" w:type="dxa"/>
            <w:vAlign w:val="center"/>
          </w:tcPr>
          <w:p>
            <w:pPr>
              <w:pStyle w:val="12"/>
            </w:pPr>
            <w:r>
              <w:t>按预算资金完成率</w:t>
            </w:r>
          </w:p>
        </w:tc>
        <w:tc>
          <w:tcPr>
            <w:tcW w:w="2268" w:type="dxa"/>
            <w:vAlign w:val="center"/>
          </w:tcPr>
          <w:p>
            <w:pPr>
              <w:pStyle w:val="12"/>
            </w:pPr>
            <w:r>
              <w:t>31.2万元</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新媒体主流传播力</w:t>
            </w:r>
          </w:p>
        </w:tc>
        <w:tc>
          <w:tcPr>
            <w:tcW w:w="5386" w:type="dxa"/>
            <w:vAlign w:val="center"/>
          </w:tcPr>
          <w:p>
            <w:pPr>
              <w:pStyle w:val="12"/>
            </w:pPr>
            <w:r>
              <w:t>增强新媒体主流媒体的传播力和影响力</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传播新媒体正能量</w:t>
            </w:r>
          </w:p>
        </w:tc>
        <w:tc>
          <w:tcPr>
            <w:tcW w:w="5386" w:type="dxa"/>
            <w:vAlign w:val="center"/>
          </w:tcPr>
          <w:p>
            <w:pPr>
              <w:pStyle w:val="12"/>
            </w:pPr>
            <w:r>
              <w:t>反映新媒体、全媒体项目在宣传中的正能量</w:t>
            </w:r>
          </w:p>
        </w:tc>
        <w:tc>
          <w:tcPr>
            <w:tcW w:w="2268" w:type="dxa"/>
            <w:vAlign w:val="center"/>
          </w:tcPr>
          <w:p>
            <w:pPr>
              <w:pStyle w:val="12"/>
            </w:pPr>
            <w:r>
              <w:t>≥98百分比</w:t>
            </w:r>
          </w:p>
        </w:tc>
        <w:tc>
          <w:tcPr>
            <w:tcW w:w="1276" w:type="dxa"/>
            <w:vAlign w:val="center"/>
          </w:tcPr>
          <w:p>
            <w:pPr>
              <w:pStyle w:val="12"/>
            </w:pPr>
            <w:r>
              <w:t>年度计划标准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新媒体中心收视人群对融媒体中心满意度</w:t>
            </w:r>
          </w:p>
        </w:tc>
        <w:tc>
          <w:tcPr>
            <w:tcW w:w="2268" w:type="dxa"/>
            <w:vAlign w:val="center"/>
          </w:tcPr>
          <w:p>
            <w:pPr>
              <w:pStyle w:val="12"/>
            </w:pPr>
            <w:r>
              <w:t>≥98百分比</w:t>
            </w:r>
          </w:p>
        </w:tc>
        <w:tc>
          <w:tcPr>
            <w:tcW w:w="1276" w:type="dxa"/>
            <w:vAlign w:val="center"/>
          </w:tcPr>
          <w:p>
            <w:pPr>
              <w:pStyle w:val="12"/>
            </w:pPr>
            <w:r>
              <w:t>年度计划标准</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359新乐市融媒体中心</w:t>
            </w:r>
          </w:p>
        </w:tc>
        <w:tc>
          <w:tcPr>
            <w:tcW w:w="8676" w:type="dxa"/>
            <w:gridSpan w:val="9"/>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新乐市融媒体中心（含所属单位）上年末固定资产金额为0.00万元（详见下表）。本年度拟购置固定资产总额为0.00万元，已按要求列入政府采购预算，详见政府采购预算表。</w:t>
      </w:r>
      <w:bookmarkStart w:id="20" w:name="_GoBack"/>
      <w:bookmarkEnd w:id="20"/>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359新乐市融媒体中心</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rPr>
                <w:rFonts w:hint="default" w:eastAsia="方正书宋_GBK"/>
                <w:lang w:val="en-US" w:eastAsia="zh-CN"/>
              </w:rPr>
            </w:pPr>
            <w:r>
              <w:rPr>
                <w:rFonts w:hint="eastAsia"/>
                <w:lang w:val="en-US" w:eastAsia="zh-CN"/>
              </w:rPr>
              <w:t>2187.75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r>
              <w:t>2769</w:t>
            </w:r>
          </w:p>
        </w:tc>
        <w:tc>
          <w:tcPr>
            <w:tcW w:w="2835" w:type="dxa"/>
            <w:vAlign w:val="center"/>
          </w:tcPr>
          <w:p>
            <w:pPr>
              <w:pStyle w:val="11"/>
            </w:pPr>
            <w:r>
              <w:t>436.82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r>
              <w:t>621</w:t>
            </w:r>
          </w:p>
        </w:tc>
        <w:tc>
          <w:tcPr>
            <w:tcW w:w="2835" w:type="dxa"/>
            <w:vAlign w:val="center"/>
          </w:tcPr>
          <w:p>
            <w:pPr>
              <w:pStyle w:val="11"/>
            </w:pPr>
            <w:r>
              <w:t>389.52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r>
              <w:t>6</w:t>
            </w:r>
          </w:p>
        </w:tc>
        <w:tc>
          <w:tcPr>
            <w:tcW w:w="2835" w:type="dxa"/>
            <w:vAlign w:val="center"/>
          </w:tcPr>
          <w:p>
            <w:pPr>
              <w:pStyle w:val="11"/>
            </w:pPr>
            <w:r>
              <w:t>205.89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908</w:t>
            </w:r>
          </w:p>
        </w:tc>
        <w:tc>
          <w:tcPr>
            <w:tcW w:w="2835" w:type="dxa"/>
            <w:vAlign w:val="center"/>
          </w:tcPr>
          <w:p>
            <w:pPr>
              <w:pStyle w:val="11"/>
              <w:rPr>
                <w:rFonts w:hint="default" w:eastAsia="方正书宋_GBK"/>
                <w:lang w:val="en-US" w:eastAsia="zh-CN"/>
              </w:rPr>
            </w:pPr>
            <w:r>
              <w:rPr>
                <w:rFonts w:hint="eastAsia"/>
                <w:lang w:val="en-US" w:eastAsia="zh-CN"/>
              </w:rPr>
              <w:t>1545.04</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8E4"/>
    <w:rsid w:val="005C28E4"/>
    <w:rsid w:val="00BD3B88"/>
    <w:rsid w:val="36416FB0"/>
    <w:rsid w:val="405A29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uiPriority w:val="99"/>
    <w:pPr>
      <w:tabs>
        <w:tab w:val="center" w:pos="4153"/>
        <w:tab w:val="right" w:pos="8306"/>
      </w:tabs>
      <w:snapToGrid w:val="0"/>
    </w:pPr>
    <w:rPr>
      <w:sz w:val="18"/>
      <w:szCs w:val="18"/>
    </w:rPr>
  </w:style>
  <w:style w:type="paragraph" w:styleId="3">
    <w:name w:val="header"/>
    <w:basedOn w:val="1"/>
    <w:link w:val="28"/>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uiPriority w:val="99"/>
    <w:rPr>
      <w:sz w:val="18"/>
      <w:szCs w:val="18"/>
      <w:lang w:eastAsia="uk-UA"/>
    </w:rPr>
  </w:style>
  <w:style w:type="character" w:customStyle="1" w:styleId="29">
    <w:name w:val="页脚 Char"/>
    <w:basedOn w:val="6"/>
    <w:link w:val="2"/>
    <w:semiHidden/>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26</Pages>
  <Words>1626</Words>
  <Characters>9274</Characters>
  <Lines>77</Lines>
  <Paragraphs>21</Paragraphs>
  <TotalTime>2</TotalTime>
  <ScaleCrop>false</ScaleCrop>
  <LinksUpToDate>false</LinksUpToDate>
  <CharactersWithSpaces>10879</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2026-04-17T01:16:00Z</dcterms:created>
  <dc:creator>Administrator</dc:creator>
  <cp:lastModifiedBy>Administrator</cp:lastModifiedBy>
  <dcterms:modified xsi:type="dcterms:W3CDTF">2026-10-14T02:58:34Z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AE8FE3431C06412E8FC1E87CA609F932</vt:lpwstr>
  </property>
</Properties>
</file>